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89" w:rsidRDefault="00ED0E89" w:rsidP="00ED0E89">
      <w:pPr>
        <w:pStyle w:val="ch2"/>
      </w:pPr>
      <w:bookmarkStart w:id="0" w:name="_GoBack"/>
      <w:bookmarkEnd w:id="0"/>
    </w:p>
    <w:p w:rsidR="00ED0E89" w:rsidRDefault="00ED0E89" w:rsidP="00ED0E89">
      <w:pPr>
        <w:pStyle w:val="ch2"/>
      </w:pPr>
    </w:p>
    <w:p w:rsidR="00ED0E89" w:rsidRPr="005157B9" w:rsidRDefault="00ED0E89" w:rsidP="00ED0E89">
      <w:pPr>
        <w:pStyle w:val="ch2"/>
        <w:rPr>
          <w:lang w:val="en-CA"/>
        </w:rPr>
      </w:pPr>
      <w:r w:rsidRPr="005157B9">
        <w:rPr>
          <w:lang w:val="en-CA"/>
        </w:rPr>
        <w:t xml:space="preserve">working time </w:t>
      </w:r>
      <w:r>
        <w:rPr>
          <w:lang w:val="en-CA"/>
        </w:rPr>
        <w:t>among videogame developers, 2004-14</w:t>
      </w:r>
    </w:p>
    <w:p w:rsidR="00ED0E89" w:rsidRPr="005157B9" w:rsidRDefault="00ED0E89" w:rsidP="00ED0E89">
      <w:pPr>
        <w:pStyle w:val="ch1"/>
        <w:rPr>
          <w:lang w:val="en-CA"/>
        </w:rPr>
      </w:pPr>
      <w:r w:rsidRPr="005157B9">
        <w:rPr>
          <w:lang w:val="en-CA"/>
        </w:rPr>
        <w:t xml:space="preserve">compared results of IGDA </w:t>
      </w:r>
      <w:r>
        <w:rPr>
          <w:lang w:val="en-CA"/>
        </w:rPr>
        <w:t xml:space="preserve">international </w:t>
      </w:r>
      <w:r w:rsidRPr="005157B9">
        <w:rPr>
          <w:lang w:val="en-CA"/>
        </w:rPr>
        <w:t>surveys 2</w:t>
      </w:r>
      <w:r>
        <w:rPr>
          <w:lang w:val="en-CA"/>
        </w:rPr>
        <w:t>004, 2009 &amp; 2014 and of 2 rounds of canadian interviews 2008 and 2013-14</w:t>
      </w:r>
    </w:p>
    <w:p w:rsidR="00ED0E89" w:rsidRPr="004E24C4" w:rsidRDefault="00D21F0C" w:rsidP="00ED0E89">
      <w:pPr>
        <w:pStyle w:val="ch1"/>
        <w:rPr>
          <w:lang w:val="en-CA"/>
        </w:rPr>
      </w:pPr>
      <w:r>
        <w:rPr>
          <w:lang w:val="en-CA"/>
        </w:rPr>
        <w:t>SUMMARY</w:t>
      </w:r>
      <w:r w:rsidR="00ED0E89" w:rsidRPr="004E24C4">
        <w:rPr>
          <w:lang w:val="en-CA"/>
        </w:rPr>
        <w:t xml:space="preserve"> report</w:t>
      </w:r>
    </w:p>
    <w:p w:rsidR="00ED0E89" w:rsidRPr="00ED0E89" w:rsidRDefault="00ED0E89" w:rsidP="00763264">
      <w:pPr>
        <w:pStyle w:val="p"/>
      </w:pPr>
    </w:p>
    <w:p w:rsidR="00ED0E89" w:rsidRPr="00ED0E89" w:rsidRDefault="00ED0E89" w:rsidP="00763264">
      <w:pPr>
        <w:pStyle w:val="p"/>
      </w:pPr>
    </w:p>
    <w:p w:rsidR="00ED0E89" w:rsidRPr="00C16E5B" w:rsidRDefault="00ED0E89" w:rsidP="00ED0E89">
      <w:pPr>
        <w:pStyle w:val="Signature2"/>
        <w:rPr>
          <w:lang w:val="en-CA"/>
        </w:rPr>
      </w:pPr>
      <w:r w:rsidRPr="00C16E5B">
        <w:rPr>
          <w:lang w:val="en-CA"/>
        </w:rPr>
        <w:t xml:space="preserve">Marie-Josée Legault, </w:t>
      </w:r>
      <w:r w:rsidR="00D21F0C" w:rsidRPr="00C16E5B">
        <w:rPr>
          <w:lang w:val="en-CA"/>
        </w:rPr>
        <w:t>Full Professor in Labor R</w:t>
      </w:r>
      <w:r w:rsidRPr="00C16E5B">
        <w:rPr>
          <w:lang w:val="en-CA"/>
        </w:rPr>
        <w:t xml:space="preserve">elations, </w:t>
      </w:r>
      <w:proofErr w:type="spellStart"/>
      <w:r w:rsidRPr="00C16E5B">
        <w:rPr>
          <w:lang w:val="en-CA"/>
        </w:rPr>
        <w:t>Téluq-Université</w:t>
      </w:r>
      <w:proofErr w:type="spellEnd"/>
      <w:r w:rsidRPr="00C16E5B">
        <w:rPr>
          <w:lang w:val="en-CA"/>
        </w:rPr>
        <w:t xml:space="preserve"> du Québec</w:t>
      </w:r>
    </w:p>
    <w:p w:rsidR="00ED0E89" w:rsidRPr="005157B9" w:rsidRDefault="00ED0E89" w:rsidP="00ED0E89">
      <w:pPr>
        <w:pStyle w:val="Signature2"/>
        <w:rPr>
          <w:lang w:val="en-CA"/>
        </w:rPr>
      </w:pPr>
      <w:r w:rsidRPr="004E24C4">
        <w:rPr>
          <w:lang w:val="en-CA"/>
        </w:rPr>
        <w:t>Johanna Weststar, Assistant Professor,</w:t>
      </w:r>
      <w:r w:rsidRPr="005157B9">
        <w:rPr>
          <w:lang w:val="en-CA"/>
        </w:rPr>
        <w:t xml:space="preserve"> </w:t>
      </w:r>
      <w:r w:rsidRPr="004E24C4">
        <w:rPr>
          <w:lang w:val="en-CA"/>
        </w:rPr>
        <w:t>Management and Organizational Studies</w:t>
      </w:r>
      <w:r w:rsidR="004B7AB2">
        <w:rPr>
          <w:lang w:val="en-CA"/>
        </w:rPr>
        <w:t xml:space="preserve"> Department</w:t>
      </w:r>
      <w:r w:rsidRPr="004E24C4">
        <w:rPr>
          <w:lang w:val="en-CA"/>
        </w:rPr>
        <w:t>, Western University</w:t>
      </w:r>
    </w:p>
    <w:p w:rsidR="00ED0E89" w:rsidRDefault="00ED0E89" w:rsidP="00ED0E89">
      <w:pPr>
        <w:pStyle w:val="ch1"/>
        <w:rPr>
          <w:lang w:val="en-CA"/>
        </w:rPr>
      </w:pPr>
    </w:p>
    <w:p w:rsidR="00ED0E89" w:rsidRDefault="00ED0E89" w:rsidP="00ED0E89">
      <w:pPr>
        <w:pStyle w:val="ch1"/>
        <w:rPr>
          <w:lang w:val="en-CA"/>
        </w:rPr>
      </w:pPr>
    </w:p>
    <w:p w:rsidR="00ED0E89" w:rsidRPr="005157B9" w:rsidRDefault="00ED0E89" w:rsidP="00ED0E89">
      <w:pPr>
        <w:pStyle w:val="ch1"/>
        <w:rPr>
          <w:lang w:val="en-CA"/>
        </w:rPr>
      </w:pPr>
    </w:p>
    <w:p w:rsidR="00ED0E89" w:rsidRDefault="000B559F" w:rsidP="00ED0E89">
      <w:pPr>
        <w:pStyle w:val="ch1"/>
      </w:pPr>
      <w:r>
        <w:t>august</w:t>
      </w:r>
      <w:r w:rsidR="00ED0E89">
        <w:t xml:space="preserve"> 2015</w:t>
      </w:r>
    </w:p>
    <w:p w:rsidR="00ED0E89" w:rsidRPr="005C00F8" w:rsidRDefault="00ED0E89" w:rsidP="00ED0E89">
      <w:pPr>
        <w:pStyle w:val="ch1"/>
      </w:pPr>
    </w:p>
    <w:p w:rsidR="00ED0E89" w:rsidRDefault="00ED0E89" w:rsidP="00ED0E89">
      <w:pPr>
        <w:pStyle w:val="ch2"/>
      </w:pPr>
      <w:r w:rsidRPr="005157B9">
        <w:br w:type="page"/>
      </w:r>
      <w:r>
        <w:lastRenderedPageBreak/>
        <w:t>Table of contents</w:t>
      </w:r>
    </w:p>
    <w:p w:rsidR="00693D05" w:rsidRDefault="00ED0E89">
      <w:pPr>
        <w:pStyle w:val="TOC1"/>
        <w:tabs>
          <w:tab w:val="right" w:leader="dot" w:pos="8392"/>
        </w:tabs>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428799758" w:history="1">
        <w:r w:rsidR="00693D05" w:rsidRPr="00DF4227">
          <w:rPr>
            <w:rStyle w:val="Hyperlink"/>
            <w:noProof/>
            <w:lang w:val="en-CA"/>
          </w:rPr>
          <w:t>Acknowledgements</w:t>
        </w:r>
        <w:r w:rsidR="00693D05">
          <w:rPr>
            <w:noProof/>
            <w:webHidden/>
          </w:rPr>
          <w:tab/>
        </w:r>
        <w:r w:rsidR="00693D05">
          <w:rPr>
            <w:noProof/>
            <w:webHidden/>
          </w:rPr>
          <w:fldChar w:fldCharType="begin"/>
        </w:r>
        <w:r w:rsidR="00693D05">
          <w:rPr>
            <w:noProof/>
            <w:webHidden/>
          </w:rPr>
          <w:instrText xml:space="preserve"> PAGEREF _Toc428799758 \h </w:instrText>
        </w:r>
        <w:r w:rsidR="00693D05">
          <w:rPr>
            <w:noProof/>
            <w:webHidden/>
          </w:rPr>
        </w:r>
        <w:r w:rsidR="00693D05">
          <w:rPr>
            <w:noProof/>
            <w:webHidden/>
          </w:rPr>
          <w:fldChar w:fldCharType="separate"/>
        </w:r>
        <w:r w:rsidR="00B51146">
          <w:rPr>
            <w:noProof/>
            <w:webHidden/>
          </w:rPr>
          <w:t>3</w:t>
        </w:r>
        <w:r w:rsidR="00693D05">
          <w:rPr>
            <w:noProof/>
            <w:webHidden/>
          </w:rPr>
          <w:fldChar w:fldCharType="end"/>
        </w:r>
      </w:hyperlink>
    </w:p>
    <w:p w:rsidR="00693D05" w:rsidRDefault="00411118">
      <w:pPr>
        <w:pStyle w:val="TOC1"/>
        <w:tabs>
          <w:tab w:val="right" w:leader="dot" w:pos="8392"/>
        </w:tabs>
        <w:rPr>
          <w:rFonts w:asciiTheme="minorHAnsi" w:eastAsiaTheme="minorEastAsia" w:hAnsiTheme="minorHAnsi" w:cstheme="minorBidi"/>
          <w:b w:val="0"/>
          <w:caps w:val="0"/>
          <w:noProof/>
          <w:sz w:val="22"/>
          <w:szCs w:val="22"/>
        </w:rPr>
      </w:pPr>
      <w:hyperlink w:anchor="_Toc428799759" w:history="1">
        <w:r w:rsidR="00693D05" w:rsidRPr="00DF4227">
          <w:rPr>
            <w:rStyle w:val="Hyperlink"/>
            <w:noProof/>
            <w:lang w:val="en-CA"/>
          </w:rPr>
          <w:t>introduction</w:t>
        </w:r>
        <w:r w:rsidR="00693D05">
          <w:rPr>
            <w:noProof/>
            <w:webHidden/>
          </w:rPr>
          <w:tab/>
        </w:r>
        <w:r w:rsidR="00693D05">
          <w:rPr>
            <w:noProof/>
            <w:webHidden/>
          </w:rPr>
          <w:fldChar w:fldCharType="begin"/>
        </w:r>
        <w:r w:rsidR="00693D05">
          <w:rPr>
            <w:noProof/>
            <w:webHidden/>
          </w:rPr>
          <w:instrText xml:space="preserve"> PAGEREF _Toc428799759 \h </w:instrText>
        </w:r>
        <w:r w:rsidR="00693D05">
          <w:rPr>
            <w:noProof/>
            <w:webHidden/>
          </w:rPr>
        </w:r>
        <w:r w:rsidR="00693D05">
          <w:rPr>
            <w:noProof/>
            <w:webHidden/>
          </w:rPr>
          <w:fldChar w:fldCharType="separate"/>
        </w:r>
        <w:r w:rsidR="00B51146">
          <w:rPr>
            <w:noProof/>
            <w:webHidden/>
          </w:rPr>
          <w:t>4</w:t>
        </w:r>
        <w:r w:rsidR="00693D05">
          <w:rPr>
            <w:noProof/>
            <w:webHidden/>
          </w:rPr>
          <w:fldChar w:fldCharType="end"/>
        </w:r>
      </w:hyperlink>
    </w:p>
    <w:p w:rsidR="00693D05" w:rsidRDefault="00411118">
      <w:pPr>
        <w:pStyle w:val="TOC1"/>
        <w:tabs>
          <w:tab w:val="right" w:leader="dot" w:pos="8392"/>
        </w:tabs>
        <w:rPr>
          <w:rFonts w:asciiTheme="minorHAnsi" w:eastAsiaTheme="minorEastAsia" w:hAnsiTheme="minorHAnsi" w:cstheme="minorBidi"/>
          <w:b w:val="0"/>
          <w:caps w:val="0"/>
          <w:noProof/>
          <w:sz w:val="22"/>
          <w:szCs w:val="22"/>
        </w:rPr>
      </w:pPr>
      <w:hyperlink w:anchor="_Toc428799760" w:history="1">
        <w:r w:rsidR="00693D05" w:rsidRPr="00DF4227">
          <w:rPr>
            <w:rStyle w:val="Hyperlink"/>
            <w:noProof/>
            <w:lang w:val="en-CA"/>
          </w:rPr>
          <w:t>methods</w:t>
        </w:r>
        <w:r w:rsidR="00693D05">
          <w:rPr>
            <w:noProof/>
            <w:webHidden/>
          </w:rPr>
          <w:tab/>
        </w:r>
        <w:r w:rsidR="00693D05">
          <w:rPr>
            <w:noProof/>
            <w:webHidden/>
          </w:rPr>
          <w:fldChar w:fldCharType="begin"/>
        </w:r>
        <w:r w:rsidR="00693D05">
          <w:rPr>
            <w:noProof/>
            <w:webHidden/>
          </w:rPr>
          <w:instrText xml:space="preserve"> PAGEREF _Toc428799760 \h </w:instrText>
        </w:r>
        <w:r w:rsidR="00693D05">
          <w:rPr>
            <w:noProof/>
            <w:webHidden/>
          </w:rPr>
        </w:r>
        <w:r w:rsidR="00693D05">
          <w:rPr>
            <w:noProof/>
            <w:webHidden/>
          </w:rPr>
          <w:fldChar w:fldCharType="separate"/>
        </w:r>
        <w:r w:rsidR="00B51146">
          <w:rPr>
            <w:noProof/>
            <w:webHidden/>
          </w:rPr>
          <w:t>6</w:t>
        </w:r>
        <w:r w:rsidR="00693D05">
          <w:rPr>
            <w:noProof/>
            <w:webHidden/>
          </w:rPr>
          <w:fldChar w:fldCharType="end"/>
        </w:r>
      </w:hyperlink>
    </w:p>
    <w:p w:rsidR="00693D05" w:rsidRDefault="00411118">
      <w:pPr>
        <w:pStyle w:val="TOC1"/>
        <w:tabs>
          <w:tab w:val="right" w:leader="dot" w:pos="8392"/>
        </w:tabs>
        <w:rPr>
          <w:rFonts w:asciiTheme="minorHAnsi" w:eastAsiaTheme="minorEastAsia" w:hAnsiTheme="minorHAnsi" w:cstheme="minorBidi"/>
          <w:b w:val="0"/>
          <w:caps w:val="0"/>
          <w:noProof/>
          <w:sz w:val="22"/>
          <w:szCs w:val="22"/>
        </w:rPr>
      </w:pPr>
      <w:hyperlink w:anchor="_Toc428799761" w:history="1">
        <w:r w:rsidR="00693D05" w:rsidRPr="00DF4227">
          <w:rPr>
            <w:rStyle w:val="Hyperlink"/>
            <w:noProof/>
            <w:lang w:val="en-CA"/>
          </w:rPr>
          <w:t>a general decrease in regular hours of work</w:t>
        </w:r>
        <w:r w:rsidR="00693D05">
          <w:rPr>
            <w:noProof/>
            <w:webHidden/>
          </w:rPr>
          <w:tab/>
        </w:r>
        <w:r w:rsidR="00693D05">
          <w:rPr>
            <w:noProof/>
            <w:webHidden/>
          </w:rPr>
          <w:fldChar w:fldCharType="begin"/>
        </w:r>
        <w:r w:rsidR="00693D05">
          <w:rPr>
            <w:noProof/>
            <w:webHidden/>
          </w:rPr>
          <w:instrText xml:space="preserve"> PAGEREF _Toc428799761 \h </w:instrText>
        </w:r>
        <w:r w:rsidR="00693D05">
          <w:rPr>
            <w:noProof/>
            <w:webHidden/>
          </w:rPr>
        </w:r>
        <w:r w:rsidR="00693D05">
          <w:rPr>
            <w:noProof/>
            <w:webHidden/>
          </w:rPr>
          <w:fldChar w:fldCharType="separate"/>
        </w:r>
        <w:r w:rsidR="00B51146">
          <w:rPr>
            <w:noProof/>
            <w:webHidden/>
          </w:rPr>
          <w:t>9</w:t>
        </w:r>
        <w:r w:rsidR="00693D05">
          <w:rPr>
            <w:noProof/>
            <w:webHidden/>
          </w:rPr>
          <w:fldChar w:fldCharType="end"/>
        </w:r>
      </w:hyperlink>
    </w:p>
    <w:p w:rsidR="00693D05" w:rsidRDefault="00411118">
      <w:pPr>
        <w:pStyle w:val="TOC2"/>
        <w:tabs>
          <w:tab w:val="right" w:leader="dot" w:pos="8392"/>
        </w:tabs>
        <w:rPr>
          <w:rFonts w:asciiTheme="minorHAnsi" w:eastAsiaTheme="minorEastAsia" w:hAnsiTheme="minorHAnsi" w:cstheme="minorBidi"/>
          <w:noProof/>
          <w:szCs w:val="22"/>
        </w:rPr>
      </w:pPr>
      <w:hyperlink w:anchor="_Toc428799762" w:history="1">
        <w:r w:rsidR="00693D05" w:rsidRPr="00DF4227">
          <w:rPr>
            <w:rStyle w:val="Hyperlink"/>
            <w:noProof/>
            <w:lang w:val="en-CA"/>
          </w:rPr>
          <w:t>Hours management expects developers to work</w:t>
        </w:r>
        <w:r w:rsidR="00693D05">
          <w:rPr>
            <w:noProof/>
            <w:webHidden/>
          </w:rPr>
          <w:tab/>
        </w:r>
        <w:r w:rsidR="00693D05">
          <w:rPr>
            <w:noProof/>
            <w:webHidden/>
          </w:rPr>
          <w:fldChar w:fldCharType="begin"/>
        </w:r>
        <w:r w:rsidR="00693D05">
          <w:rPr>
            <w:noProof/>
            <w:webHidden/>
          </w:rPr>
          <w:instrText xml:space="preserve"> PAGEREF _Toc428799762 \h </w:instrText>
        </w:r>
        <w:r w:rsidR="00693D05">
          <w:rPr>
            <w:noProof/>
            <w:webHidden/>
          </w:rPr>
        </w:r>
        <w:r w:rsidR="00693D05">
          <w:rPr>
            <w:noProof/>
            <w:webHidden/>
          </w:rPr>
          <w:fldChar w:fldCharType="separate"/>
        </w:r>
        <w:r w:rsidR="00B51146">
          <w:rPr>
            <w:noProof/>
            <w:webHidden/>
          </w:rPr>
          <w:t>9</w:t>
        </w:r>
        <w:r w:rsidR="00693D05">
          <w:rPr>
            <w:noProof/>
            <w:webHidden/>
          </w:rPr>
          <w:fldChar w:fldCharType="end"/>
        </w:r>
      </w:hyperlink>
    </w:p>
    <w:p w:rsidR="00693D05" w:rsidRDefault="00411118">
      <w:pPr>
        <w:pStyle w:val="TOC2"/>
        <w:tabs>
          <w:tab w:val="right" w:leader="dot" w:pos="8392"/>
        </w:tabs>
        <w:rPr>
          <w:rFonts w:asciiTheme="minorHAnsi" w:eastAsiaTheme="minorEastAsia" w:hAnsiTheme="minorHAnsi" w:cstheme="minorBidi"/>
          <w:noProof/>
          <w:szCs w:val="22"/>
        </w:rPr>
      </w:pPr>
      <w:hyperlink w:anchor="_Toc428799763" w:history="1">
        <w:r w:rsidR="00693D05" w:rsidRPr="00DF4227">
          <w:rPr>
            <w:rStyle w:val="Hyperlink"/>
            <w:noProof/>
            <w:lang w:val="en-CA"/>
          </w:rPr>
          <w:t>Hours developers actually work on regular days</w:t>
        </w:r>
        <w:r w:rsidR="00693D05">
          <w:rPr>
            <w:noProof/>
            <w:webHidden/>
          </w:rPr>
          <w:tab/>
        </w:r>
        <w:r w:rsidR="00693D05">
          <w:rPr>
            <w:noProof/>
            <w:webHidden/>
          </w:rPr>
          <w:fldChar w:fldCharType="begin"/>
        </w:r>
        <w:r w:rsidR="00693D05">
          <w:rPr>
            <w:noProof/>
            <w:webHidden/>
          </w:rPr>
          <w:instrText xml:space="preserve"> PAGEREF _Toc428799763 \h </w:instrText>
        </w:r>
        <w:r w:rsidR="00693D05">
          <w:rPr>
            <w:noProof/>
            <w:webHidden/>
          </w:rPr>
        </w:r>
        <w:r w:rsidR="00693D05">
          <w:rPr>
            <w:noProof/>
            <w:webHidden/>
          </w:rPr>
          <w:fldChar w:fldCharType="separate"/>
        </w:r>
        <w:r w:rsidR="00B51146">
          <w:rPr>
            <w:noProof/>
            <w:webHidden/>
          </w:rPr>
          <w:t>10</w:t>
        </w:r>
        <w:r w:rsidR="00693D05">
          <w:rPr>
            <w:noProof/>
            <w:webHidden/>
          </w:rPr>
          <w:fldChar w:fldCharType="end"/>
        </w:r>
      </w:hyperlink>
    </w:p>
    <w:p w:rsidR="00693D05" w:rsidRDefault="00411118">
      <w:pPr>
        <w:pStyle w:val="TOC1"/>
        <w:tabs>
          <w:tab w:val="right" w:leader="dot" w:pos="8392"/>
        </w:tabs>
        <w:rPr>
          <w:rFonts w:asciiTheme="minorHAnsi" w:eastAsiaTheme="minorEastAsia" w:hAnsiTheme="minorHAnsi" w:cstheme="minorBidi"/>
          <w:b w:val="0"/>
          <w:caps w:val="0"/>
          <w:noProof/>
          <w:sz w:val="22"/>
          <w:szCs w:val="22"/>
        </w:rPr>
      </w:pPr>
      <w:hyperlink w:anchor="_Toc428799764" w:history="1">
        <w:r w:rsidR="00693D05" w:rsidRPr="00DF4227">
          <w:rPr>
            <w:rStyle w:val="Hyperlink"/>
            <w:noProof/>
            <w:lang w:val="en-CA"/>
          </w:rPr>
          <w:t>A decreasing practice of crunch, but still important</w:t>
        </w:r>
        <w:r w:rsidR="00693D05">
          <w:rPr>
            <w:noProof/>
            <w:webHidden/>
          </w:rPr>
          <w:tab/>
        </w:r>
        <w:r w:rsidR="00693D05">
          <w:rPr>
            <w:noProof/>
            <w:webHidden/>
          </w:rPr>
          <w:fldChar w:fldCharType="begin"/>
        </w:r>
        <w:r w:rsidR="00693D05">
          <w:rPr>
            <w:noProof/>
            <w:webHidden/>
          </w:rPr>
          <w:instrText xml:space="preserve"> PAGEREF _Toc428799764 \h </w:instrText>
        </w:r>
        <w:r w:rsidR="00693D05">
          <w:rPr>
            <w:noProof/>
            <w:webHidden/>
          </w:rPr>
        </w:r>
        <w:r w:rsidR="00693D05">
          <w:rPr>
            <w:noProof/>
            <w:webHidden/>
          </w:rPr>
          <w:fldChar w:fldCharType="separate"/>
        </w:r>
        <w:r w:rsidR="00B51146">
          <w:rPr>
            <w:noProof/>
            <w:webHidden/>
          </w:rPr>
          <w:t>14</w:t>
        </w:r>
        <w:r w:rsidR="00693D05">
          <w:rPr>
            <w:noProof/>
            <w:webHidden/>
          </w:rPr>
          <w:fldChar w:fldCharType="end"/>
        </w:r>
      </w:hyperlink>
    </w:p>
    <w:p w:rsidR="00693D05" w:rsidRDefault="00411118">
      <w:pPr>
        <w:pStyle w:val="TOC2"/>
        <w:tabs>
          <w:tab w:val="right" w:leader="dot" w:pos="8392"/>
        </w:tabs>
        <w:rPr>
          <w:rFonts w:asciiTheme="minorHAnsi" w:eastAsiaTheme="minorEastAsia" w:hAnsiTheme="minorHAnsi" w:cstheme="minorBidi"/>
          <w:noProof/>
          <w:szCs w:val="22"/>
        </w:rPr>
      </w:pPr>
      <w:hyperlink w:anchor="_Toc428799765" w:history="1">
        <w:r w:rsidR="00693D05" w:rsidRPr="00DF4227">
          <w:rPr>
            <w:rStyle w:val="Hyperlink"/>
            <w:noProof/>
            <w:lang w:val="en-CA"/>
          </w:rPr>
          <w:t>Crunch time, a project management notion</w:t>
        </w:r>
        <w:r w:rsidR="00693D05">
          <w:rPr>
            <w:noProof/>
            <w:webHidden/>
          </w:rPr>
          <w:tab/>
        </w:r>
        <w:r w:rsidR="00693D05">
          <w:rPr>
            <w:noProof/>
            <w:webHidden/>
          </w:rPr>
          <w:fldChar w:fldCharType="begin"/>
        </w:r>
        <w:r w:rsidR="00693D05">
          <w:rPr>
            <w:noProof/>
            <w:webHidden/>
          </w:rPr>
          <w:instrText xml:space="preserve"> PAGEREF _Toc428799765 \h </w:instrText>
        </w:r>
        <w:r w:rsidR="00693D05">
          <w:rPr>
            <w:noProof/>
            <w:webHidden/>
          </w:rPr>
        </w:r>
        <w:r w:rsidR="00693D05">
          <w:rPr>
            <w:noProof/>
            <w:webHidden/>
          </w:rPr>
          <w:fldChar w:fldCharType="separate"/>
        </w:r>
        <w:r w:rsidR="00B51146">
          <w:rPr>
            <w:noProof/>
            <w:webHidden/>
          </w:rPr>
          <w:t>14</w:t>
        </w:r>
        <w:r w:rsidR="00693D05">
          <w:rPr>
            <w:noProof/>
            <w:webHidden/>
          </w:rPr>
          <w:fldChar w:fldCharType="end"/>
        </w:r>
      </w:hyperlink>
    </w:p>
    <w:p w:rsidR="00693D05" w:rsidRDefault="00411118">
      <w:pPr>
        <w:pStyle w:val="TOC2"/>
        <w:tabs>
          <w:tab w:val="right" w:leader="dot" w:pos="8392"/>
        </w:tabs>
        <w:rPr>
          <w:rFonts w:asciiTheme="minorHAnsi" w:eastAsiaTheme="minorEastAsia" w:hAnsiTheme="minorHAnsi" w:cstheme="minorBidi"/>
          <w:noProof/>
          <w:szCs w:val="22"/>
        </w:rPr>
      </w:pPr>
      <w:hyperlink w:anchor="_Toc428799766" w:history="1">
        <w:r w:rsidR="00693D05" w:rsidRPr="00DF4227">
          <w:rPr>
            <w:rStyle w:val="Hyperlink"/>
            <w:noProof/>
            <w:lang w:val="en-CA"/>
          </w:rPr>
          <w:t>The general practice is decreasing, but still part and parcel of the trade</w:t>
        </w:r>
        <w:r w:rsidR="00693D05">
          <w:rPr>
            <w:noProof/>
            <w:webHidden/>
          </w:rPr>
          <w:tab/>
        </w:r>
        <w:r w:rsidR="00693D05">
          <w:rPr>
            <w:noProof/>
            <w:webHidden/>
          </w:rPr>
          <w:fldChar w:fldCharType="begin"/>
        </w:r>
        <w:r w:rsidR="00693D05">
          <w:rPr>
            <w:noProof/>
            <w:webHidden/>
          </w:rPr>
          <w:instrText xml:space="preserve"> PAGEREF _Toc428799766 \h </w:instrText>
        </w:r>
        <w:r w:rsidR="00693D05">
          <w:rPr>
            <w:noProof/>
            <w:webHidden/>
          </w:rPr>
        </w:r>
        <w:r w:rsidR="00693D05">
          <w:rPr>
            <w:noProof/>
            <w:webHidden/>
          </w:rPr>
          <w:fldChar w:fldCharType="separate"/>
        </w:r>
        <w:r w:rsidR="00B51146">
          <w:rPr>
            <w:noProof/>
            <w:webHidden/>
          </w:rPr>
          <w:t>14</w:t>
        </w:r>
        <w:r w:rsidR="00693D05">
          <w:rPr>
            <w:noProof/>
            <w:webHidden/>
          </w:rPr>
          <w:fldChar w:fldCharType="end"/>
        </w:r>
      </w:hyperlink>
    </w:p>
    <w:p w:rsidR="00693D05" w:rsidRDefault="00411118">
      <w:pPr>
        <w:pStyle w:val="TOC2"/>
        <w:tabs>
          <w:tab w:val="right" w:leader="dot" w:pos="8392"/>
        </w:tabs>
        <w:rPr>
          <w:rFonts w:asciiTheme="minorHAnsi" w:eastAsiaTheme="minorEastAsia" w:hAnsiTheme="minorHAnsi" w:cstheme="minorBidi"/>
          <w:noProof/>
          <w:szCs w:val="22"/>
        </w:rPr>
      </w:pPr>
      <w:hyperlink w:anchor="_Toc428799767" w:history="1">
        <w:r w:rsidR="00693D05" w:rsidRPr="00DF4227">
          <w:rPr>
            <w:rStyle w:val="Hyperlink"/>
            <w:noProof/>
            <w:lang w:val="en-CA"/>
          </w:rPr>
          <w:t>Is it possible to refuse to crunch?</w:t>
        </w:r>
        <w:r w:rsidR="00693D05">
          <w:rPr>
            <w:noProof/>
            <w:webHidden/>
          </w:rPr>
          <w:tab/>
        </w:r>
        <w:r w:rsidR="00693D05">
          <w:rPr>
            <w:noProof/>
            <w:webHidden/>
          </w:rPr>
          <w:fldChar w:fldCharType="begin"/>
        </w:r>
        <w:r w:rsidR="00693D05">
          <w:rPr>
            <w:noProof/>
            <w:webHidden/>
          </w:rPr>
          <w:instrText xml:space="preserve"> PAGEREF _Toc428799767 \h </w:instrText>
        </w:r>
        <w:r w:rsidR="00693D05">
          <w:rPr>
            <w:noProof/>
            <w:webHidden/>
          </w:rPr>
        </w:r>
        <w:r w:rsidR="00693D05">
          <w:rPr>
            <w:noProof/>
            <w:webHidden/>
          </w:rPr>
          <w:fldChar w:fldCharType="separate"/>
        </w:r>
        <w:r w:rsidR="00B51146">
          <w:rPr>
            <w:noProof/>
            <w:webHidden/>
          </w:rPr>
          <w:t>17</w:t>
        </w:r>
        <w:r w:rsidR="00693D05">
          <w:rPr>
            <w:noProof/>
            <w:webHidden/>
          </w:rPr>
          <w:fldChar w:fldCharType="end"/>
        </w:r>
      </w:hyperlink>
    </w:p>
    <w:p w:rsidR="00693D05" w:rsidRDefault="00411118">
      <w:pPr>
        <w:pStyle w:val="TOC2"/>
        <w:tabs>
          <w:tab w:val="right" w:leader="dot" w:pos="8392"/>
        </w:tabs>
        <w:rPr>
          <w:rFonts w:asciiTheme="minorHAnsi" w:eastAsiaTheme="minorEastAsia" w:hAnsiTheme="minorHAnsi" w:cstheme="minorBidi"/>
          <w:noProof/>
          <w:szCs w:val="22"/>
        </w:rPr>
      </w:pPr>
      <w:hyperlink w:anchor="_Toc428799768" w:history="1">
        <w:r w:rsidR="00693D05" w:rsidRPr="00DF4227">
          <w:rPr>
            <w:rStyle w:val="Hyperlink"/>
            <w:noProof/>
            <w:lang w:val="en-CA"/>
          </w:rPr>
          <w:t>Hours management expects developers to work in crunch</w:t>
        </w:r>
        <w:r w:rsidR="00693D05">
          <w:rPr>
            <w:noProof/>
            <w:webHidden/>
          </w:rPr>
          <w:tab/>
        </w:r>
        <w:r w:rsidR="00693D05">
          <w:rPr>
            <w:noProof/>
            <w:webHidden/>
          </w:rPr>
          <w:fldChar w:fldCharType="begin"/>
        </w:r>
        <w:r w:rsidR="00693D05">
          <w:rPr>
            <w:noProof/>
            <w:webHidden/>
          </w:rPr>
          <w:instrText xml:space="preserve"> PAGEREF _Toc428799768 \h </w:instrText>
        </w:r>
        <w:r w:rsidR="00693D05">
          <w:rPr>
            <w:noProof/>
            <w:webHidden/>
          </w:rPr>
        </w:r>
        <w:r w:rsidR="00693D05">
          <w:rPr>
            <w:noProof/>
            <w:webHidden/>
          </w:rPr>
          <w:fldChar w:fldCharType="separate"/>
        </w:r>
        <w:r w:rsidR="00B51146">
          <w:rPr>
            <w:noProof/>
            <w:webHidden/>
          </w:rPr>
          <w:t>21</w:t>
        </w:r>
        <w:r w:rsidR="00693D05">
          <w:rPr>
            <w:noProof/>
            <w:webHidden/>
          </w:rPr>
          <w:fldChar w:fldCharType="end"/>
        </w:r>
      </w:hyperlink>
    </w:p>
    <w:p w:rsidR="00693D05" w:rsidRDefault="00411118">
      <w:pPr>
        <w:pStyle w:val="TOC2"/>
        <w:tabs>
          <w:tab w:val="right" w:leader="dot" w:pos="8392"/>
        </w:tabs>
        <w:rPr>
          <w:rFonts w:asciiTheme="minorHAnsi" w:eastAsiaTheme="minorEastAsia" w:hAnsiTheme="minorHAnsi" w:cstheme="minorBidi"/>
          <w:noProof/>
          <w:szCs w:val="22"/>
        </w:rPr>
      </w:pPr>
      <w:hyperlink w:anchor="_Toc428799769" w:history="1">
        <w:r w:rsidR="00693D05" w:rsidRPr="00DF4227">
          <w:rPr>
            <w:rStyle w:val="Hyperlink"/>
            <w:noProof/>
            <w:lang w:val="en-CA"/>
          </w:rPr>
          <w:t>Hours developers actually work on crunch time</w:t>
        </w:r>
        <w:r w:rsidR="00693D05">
          <w:rPr>
            <w:noProof/>
            <w:webHidden/>
          </w:rPr>
          <w:tab/>
        </w:r>
        <w:r w:rsidR="00693D05">
          <w:rPr>
            <w:noProof/>
            <w:webHidden/>
          </w:rPr>
          <w:fldChar w:fldCharType="begin"/>
        </w:r>
        <w:r w:rsidR="00693D05">
          <w:rPr>
            <w:noProof/>
            <w:webHidden/>
          </w:rPr>
          <w:instrText xml:space="preserve"> PAGEREF _Toc428799769 \h </w:instrText>
        </w:r>
        <w:r w:rsidR="00693D05">
          <w:rPr>
            <w:noProof/>
            <w:webHidden/>
          </w:rPr>
        </w:r>
        <w:r w:rsidR="00693D05">
          <w:rPr>
            <w:noProof/>
            <w:webHidden/>
          </w:rPr>
          <w:fldChar w:fldCharType="separate"/>
        </w:r>
        <w:r w:rsidR="00B51146">
          <w:rPr>
            <w:noProof/>
            <w:webHidden/>
          </w:rPr>
          <w:t>21</w:t>
        </w:r>
        <w:r w:rsidR="00693D05">
          <w:rPr>
            <w:noProof/>
            <w:webHidden/>
          </w:rPr>
          <w:fldChar w:fldCharType="end"/>
        </w:r>
      </w:hyperlink>
    </w:p>
    <w:p w:rsidR="00693D05" w:rsidRDefault="00411118">
      <w:pPr>
        <w:pStyle w:val="TOC2"/>
        <w:tabs>
          <w:tab w:val="right" w:leader="dot" w:pos="8392"/>
        </w:tabs>
        <w:rPr>
          <w:rFonts w:asciiTheme="minorHAnsi" w:eastAsiaTheme="minorEastAsia" w:hAnsiTheme="minorHAnsi" w:cstheme="minorBidi"/>
          <w:noProof/>
          <w:szCs w:val="22"/>
        </w:rPr>
      </w:pPr>
      <w:hyperlink w:anchor="_Toc428799770" w:history="1">
        <w:r w:rsidR="00693D05" w:rsidRPr="00DF4227">
          <w:rPr>
            <w:rStyle w:val="Hyperlink"/>
            <w:noProof/>
            <w:lang w:val="en-CA"/>
          </w:rPr>
          <w:t>Yearly weeks of crunch time on a downward trend</w:t>
        </w:r>
        <w:r w:rsidR="00693D05">
          <w:rPr>
            <w:noProof/>
            <w:webHidden/>
          </w:rPr>
          <w:tab/>
        </w:r>
        <w:r w:rsidR="00693D05">
          <w:rPr>
            <w:noProof/>
            <w:webHidden/>
          </w:rPr>
          <w:fldChar w:fldCharType="begin"/>
        </w:r>
        <w:r w:rsidR="00693D05">
          <w:rPr>
            <w:noProof/>
            <w:webHidden/>
          </w:rPr>
          <w:instrText xml:space="preserve"> PAGEREF _Toc428799770 \h </w:instrText>
        </w:r>
        <w:r w:rsidR="00693D05">
          <w:rPr>
            <w:noProof/>
            <w:webHidden/>
          </w:rPr>
        </w:r>
        <w:r w:rsidR="00693D05">
          <w:rPr>
            <w:noProof/>
            <w:webHidden/>
          </w:rPr>
          <w:fldChar w:fldCharType="separate"/>
        </w:r>
        <w:r w:rsidR="00B51146">
          <w:rPr>
            <w:noProof/>
            <w:webHidden/>
          </w:rPr>
          <w:t>24</w:t>
        </w:r>
        <w:r w:rsidR="00693D05">
          <w:rPr>
            <w:noProof/>
            <w:webHidden/>
          </w:rPr>
          <w:fldChar w:fldCharType="end"/>
        </w:r>
      </w:hyperlink>
    </w:p>
    <w:p w:rsidR="00693D05" w:rsidRDefault="00411118">
      <w:pPr>
        <w:pStyle w:val="TOC2"/>
        <w:tabs>
          <w:tab w:val="right" w:leader="dot" w:pos="8392"/>
        </w:tabs>
        <w:rPr>
          <w:rFonts w:asciiTheme="minorHAnsi" w:eastAsiaTheme="minorEastAsia" w:hAnsiTheme="minorHAnsi" w:cstheme="minorBidi"/>
          <w:noProof/>
          <w:szCs w:val="22"/>
        </w:rPr>
      </w:pPr>
      <w:hyperlink w:anchor="_Toc428799771" w:history="1">
        <w:r w:rsidR="00693D05" w:rsidRPr="00DF4227">
          <w:rPr>
            <w:rStyle w:val="Hyperlink"/>
            <w:noProof/>
            <w:lang w:val="en-CA"/>
          </w:rPr>
          <w:t>Weeks in a row of crunch time on a downward trend</w:t>
        </w:r>
        <w:r w:rsidR="00693D05">
          <w:rPr>
            <w:noProof/>
            <w:webHidden/>
          </w:rPr>
          <w:tab/>
        </w:r>
        <w:r w:rsidR="00693D05">
          <w:rPr>
            <w:noProof/>
            <w:webHidden/>
          </w:rPr>
          <w:fldChar w:fldCharType="begin"/>
        </w:r>
        <w:r w:rsidR="00693D05">
          <w:rPr>
            <w:noProof/>
            <w:webHidden/>
          </w:rPr>
          <w:instrText xml:space="preserve"> PAGEREF _Toc428799771 \h </w:instrText>
        </w:r>
        <w:r w:rsidR="00693D05">
          <w:rPr>
            <w:noProof/>
            <w:webHidden/>
          </w:rPr>
        </w:r>
        <w:r w:rsidR="00693D05">
          <w:rPr>
            <w:noProof/>
            <w:webHidden/>
          </w:rPr>
          <w:fldChar w:fldCharType="separate"/>
        </w:r>
        <w:r w:rsidR="00B51146">
          <w:rPr>
            <w:noProof/>
            <w:webHidden/>
          </w:rPr>
          <w:t>26</w:t>
        </w:r>
        <w:r w:rsidR="00693D05">
          <w:rPr>
            <w:noProof/>
            <w:webHidden/>
          </w:rPr>
          <w:fldChar w:fldCharType="end"/>
        </w:r>
      </w:hyperlink>
    </w:p>
    <w:p w:rsidR="00693D05" w:rsidRDefault="00411118">
      <w:pPr>
        <w:pStyle w:val="TOC2"/>
        <w:tabs>
          <w:tab w:val="right" w:leader="dot" w:pos="8392"/>
        </w:tabs>
        <w:rPr>
          <w:rFonts w:asciiTheme="minorHAnsi" w:eastAsiaTheme="minorEastAsia" w:hAnsiTheme="minorHAnsi" w:cstheme="minorBidi"/>
          <w:noProof/>
          <w:szCs w:val="22"/>
        </w:rPr>
      </w:pPr>
      <w:hyperlink w:anchor="_Toc428799772" w:history="1">
        <w:r w:rsidR="00693D05" w:rsidRPr="00DF4227">
          <w:rPr>
            <w:rStyle w:val="Hyperlink"/>
            <w:noProof/>
            <w:lang w:val="en-CA"/>
          </w:rPr>
          <w:t>The legal framework</w:t>
        </w:r>
        <w:r w:rsidR="00693D05">
          <w:rPr>
            <w:noProof/>
            <w:webHidden/>
          </w:rPr>
          <w:tab/>
        </w:r>
        <w:r w:rsidR="00693D05">
          <w:rPr>
            <w:noProof/>
            <w:webHidden/>
          </w:rPr>
          <w:fldChar w:fldCharType="begin"/>
        </w:r>
        <w:r w:rsidR="00693D05">
          <w:rPr>
            <w:noProof/>
            <w:webHidden/>
          </w:rPr>
          <w:instrText xml:space="preserve"> PAGEREF _Toc428799772 \h </w:instrText>
        </w:r>
        <w:r w:rsidR="00693D05">
          <w:rPr>
            <w:noProof/>
            <w:webHidden/>
          </w:rPr>
        </w:r>
        <w:r w:rsidR="00693D05">
          <w:rPr>
            <w:noProof/>
            <w:webHidden/>
          </w:rPr>
          <w:fldChar w:fldCharType="separate"/>
        </w:r>
        <w:r w:rsidR="00B51146">
          <w:rPr>
            <w:noProof/>
            <w:webHidden/>
          </w:rPr>
          <w:t>28</w:t>
        </w:r>
        <w:r w:rsidR="00693D05">
          <w:rPr>
            <w:noProof/>
            <w:webHidden/>
          </w:rPr>
          <w:fldChar w:fldCharType="end"/>
        </w:r>
      </w:hyperlink>
    </w:p>
    <w:p w:rsidR="00693D05" w:rsidRDefault="00411118">
      <w:pPr>
        <w:pStyle w:val="TOC3"/>
        <w:tabs>
          <w:tab w:val="right" w:leader="dot" w:pos="8392"/>
        </w:tabs>
        <w:rPr>
          <w:rFonts w:asciiTheme="minorHAnsi" w:eastAsiaTheme="minorEastAsia" w:hAnsiTheme="minorHAnsi" w:cstheme="minorBidi"/>
          <w:i w:val="0"/>
          <w:noProof/>
          <w:sz w:val="22"/>
          <w:szCs w:val="22"/>
        </w:rPr>
      </w:pPr>
      <w:hyperlink w:anchor="_Toc428799773" w:history="1">
        <w:r w:rsidR="00693D05" w:rsidRPr="00DF4227">
          <w:rPr>
            <w:rStyle w:val="Hyperlink"/>
            <w:noProof/>
            <w:lang w:val="en-CA"/>
          </w:rPr>
          <w:t>US legislation on overtime</w:t>
        </w:r>
        <w:r w:rsidR="00693D05">
          <w:rPr>
            <w:noProof/>
            <w:webHidden/>
          </w:rPr>
          <w:tab/>
        </w:r>
        <w:r w:rsidR="00693D05">
          <w:rPr>
            <w:noProof/>
            <w:webHidden/>
          </w:rPr>
          <w:fldChar w:fldCharType="begin"/>
        </w:r>
        <w:r w:rsidR="00693D05">
          <w:rPr>
            <w:noProof/>
            <w:webHidden/>
          </w:rPr>
          <w:instrText xml:space="preserve"> PAGEREF _Toc428799773 \h </w:instrText>
        </w:r>
        <w:r w:rsidR="00693D05">
          <w:rPr>
            <w:noProof/>
            <w:webHidden/>
          </w:rPr>
        </w:r>
        <w:r w:rsidR="00693D05">
          <w:rPr>
            <w:noProof/>
            <w:webHidden/>
          </w:rPr>
          <w:fldChar w:fldCharType="separate"/>
        </w:r>
        <w:r w:rsidR="00B51146">
          <w:rPr>
            <w:noProof/>
            <w:webHidden/>
          </w:rPr>
          <w:t>28</w:t>
        </w:r>
        <w:r w:rsidR="00693D05">
          <w:rPr>
            <w:noProof/>
            <w:webHidden/>
          </w:rPr>
          <w:fldChar w:fldCharType="end"/>
        </w:r>
      </w:hyperlink>
    </w:p>
    <w:p w:rsidR="00693D05" w:rsidRDefault="00411118">
      <w:pPr>
        <w:pStyle w:val="TOC3"/>
        <w:tabs>
          <w:tab w:val="right" w:leader="dot" w:pos="8392"/>
        </w:tabs>
        <w:rPr>
          <w:rFonts w:asciiTheme="minorHAnsi" w:eastAsiaTheme="minorEastAsia" w:hAnsiTheme="minorHAnsi" w:cstheme="minorBidi"/>
          <w:i w:val="0"/>
          <w:noProof/>
          <w:sz w:val="22"/>
          <w:szCs w:val="22"/>
        </w:rPr>
      </w:pPr>
      <w:hyperlink w:anchor="_Toc428799774" w:history="1">
        <w:r w:rsidR="00693D05" w:rsidRPr="00DF4227">
          <w:rPr>
            <w:rStyle w:val="Hyperlink"/>
            <w:noProof/>
            <w:lang w:val="en-CA"/>
          </w:rPr>
          <w:t>Quebec legislation</w:t>
        </w:r>
        <w:r w:rsidR="00693D05">
          <w:rPr>
            <w:noProof/>
            <w:webHidden/>
          </w:rPr>
          <w:tab/>
        </w:r>
        <w:r w:rsidR="00693D05">
          <w:rPr>
            <w:noProof/>
            <w:webHidden/>
          </w:rPr>
          <w:fldChar w:fldCharType="begin"/>
        </w:r>
        <w:r w:rsidR="00693D05">
          <w:rPr>
            <w:noProof/>
            <w:webHidden/>
          </w:rPr>
          <w:instrText xml:space="preserve"> PAGEREF _Toc428799774 \h </w:instrText>
        </w:r>
        <w:r w:rsidR="00693D05">
          <w:rPr>
            <w:noProof/>
            <w:webHidden/>
          </w:rPr>
        </w:r>
        <w:r w:rsidR="00693D05">
          <w:rPr>
            <w:noProof/>
            <w:webHidden/>
          </w:rPr>
          <w:fldChar w:fldCharType="separate"/>
        </w:r>
        <w:r w:rsidR="00B51146">
          <w:rPr>
            <w:noProof/>
            <w:webHidden/>
          </w:rPr>
          <w:t>29</w:t>
        </w:r>
        <w:r w:rsidR="00693D05">
          <w:rPr>
            <w:noProof/>
            <w:webHidden/>
          </w:rPr>
          <w:fldChar w:fldCharType="end"/>
        </w:r>
      </w:hyperlink>
    </w:p>
    <w:p w:rsidR="00693D05" w:rsidRDefault="00411118">
      <w:pPr>
        <w:pStyle w:val="TOC3"/>
        <w:tabs>
          <w:tab w:val="right" w:leader="dot" w:pos="8392"/>
        </w:tabs>
        <w:rPr>
          <w:rFonts w:asciiTheme="minorHAnsi" w:eastAsiaTheme="minorEastAsia" w:hAnsiTheme="minorHAnsi" w:cstheme="minorBidi"/>
          <w:i w:val="0"/>
          <w:noProof/>
          <w:sz w:val="22"/>
          <w:szCs w:val="22"/>
        </w:rPr>
      </w:pPr>
      <w:hyperlink w:anchor="_Toc428799775" w:history="1">
        <w:r w:rsidR="00693D05" w:rsidRPr="00DF4227">
          <w:rPr>
            <w:rStyle w:val="Hyperlink"/>
            <w:noProof/>
            <w:lang w:val="en-CA"/>
          </w:rPr>
          <w:t>British Columbia legislation</w:t>
        </w:r>
        <w:r w:rsidR="00693D05">
          <w:rPr>
            <w:noProof/>
            <w:webHidden/>
          </w:rPr>
          <w:tab/>
        </w:r>
        <w:r w:rsidR="00693D05">
          <w:rPr>
            <w:noProof/>
            <w:webHidden/>
          </w:rPr>
          <w:fldChar w:fldCharType="begin"/>
        </w:r>
        <w:r w:rsidR="00693D05">
          <w:rPr>
            <w:noProof/>
            <w:webHidden/>
          </w:rPr>
          <w:instrText xml:space="preserve"> PAGEREF _Toc428799775 \h </w:instrText>
        </w:r>
        <w:r w:rsidR="00693D05">
          <w:rPr>
            <w:noProof/>
            <w:webHidden/>
          </w:rPr>
        </w:r>
        <w:r w:rsidR="00693D05">
          <w:rPr>
            <w:noProof/>
            <w:webHidden/>
          </w:rPr>
          <w:fldChar w:fldCharType="separate"/>
        </w:r>
        <w:r w:rsidR="00B51146">
          <w:rPr>
            <w:noProof/>
            <w:webHidden/>
          </w:rPr>
          <w:t>31</w:t>
        </w:r>
        <w:r w:rsidR="00693D05">
          <w:rPr>
            <w:noProof/>
            <w:webHidden/>
          </w:rPr>
          <w:fldChar w:fldCharType="end"/>
        </w:r>
      </w:hyperlink>
    </w:p>
    <w:p w:rsidR="00693D05" w:rsidRDefault="00411118">
      <w:pPr>
        <w:pStyle w:val="TOC3"/>
        <w:tabs>
          <w:tab w:val="right" w:leader="dot" w:pos="8392"/>
        </w:tabs>
        <w:rPr>
          <w:rFonts w:asciiTheme="minorHAnsi" w:eastAsiaTheme="minorEastAsia" w:hAnsiTheme="minorHAnsi" w:cstheme="minorBidi"/>
          <w:i w:val="0"/>
          <w:noProof/>
          <w:sz w:val="22"/>
          <w:szCs w:val="22"/>
        </w:rPr>
      </w:pPr>
      <w:hyperlink w:anchor="_Toc428799776" w:history="1">
        <w:r w:rsidR="00693D05" w:rsidRPr="00DF4227">
          <w:rPr>
            <w:rStyle w:val="Hyperlink"/>
            <w:noProof/>
            <w:lang w:val="en-CA"/>
          </w:rPr>
          <w:t>Ontario legislation on overtime</w:t>
        </w:r>
        <w:r w:rsidR="00693D05">
          <w:rPr>
            <w:noProof/>
            <w:webHidden/>
          </w:rPr>
          <w:tab/>
        </w:r>
        <w:r w:rsidR="00693D05">
          <w:rPr>
            <w:noProof/>
            <w:webHidden/>
          </w:rPr>
          <w:fldChar w:fldCharType="begin"/>
        </w:r>
        <w:r w:rsidR="00693D05">
          <w:rPr>
            <w:noProof/>
            <w:webHidden/>
          </w:rPr>
          <w:instrText xml:space="preserve"> PAGEREF _Toc428799776 \h </w:instrText>
        </w:r>
        <w:r w:rsidR="00693D05">
          <w:rPr>
            <w:noProof/>
            <w:webHidden/>
          </w:rPr>
        </w:r>
        <w:r w:rsidR="00693D05">
          <w:rPr>
            <w:noProof/>
            <w:webHidden/>
          </w:rPr>
          <w:fldChar w:fldCharType="separate"/>
        </w:r>
        <w:r w:rsidR="00B51146">
          <w:rPr>
            <w:noProof/>
            <w:webHidden/>
          </w:rPr>
          <w:t>31</w:t>
        </w:r>
        <w:r w:rsidR="00693D05">
          <w:rPr>
            <w:noProof/>
            <w:webHidden/>
          </w:rPr>
          <w:fldChar w:fldCharType="end"/>
        </w:r>
      </w:hyperlink>
    </w:p>
    <w:p w:rsidR="00693D05" w:rsidRDefault="00411118">
      <w:pPr>
        <w:pStyle w:val="TOC2"/>
        <w:tabs>
          <w:tab w:val="right" w:leader="dot" w:pos="8392"/>
        </w:tabs>
        <w:rPr>
          <w:rFonts w:asciiTheme="minorHAnsi" w:eastAsiaTheme="minorEastAsia" w:hAnsiTheme="minorHAnsi" w:cstheme="minorBidi"/>
          <w:noProof/>
          <w:szCs w:val="22"/>
        </w:rPr>
      </w:pPr>
      <w:hyperlink w:anchor="_Toc428799777" w:history="1">
        <w:r w:rsidR="00693D05" w:rsidRPr="00DF4227">
          <w:rPr>
            <w:rStyle w:val="Hyperlink"/>
            <w:noProof/>
            <w:lang w:val="en-CA"/>
          </w:rPr>
          <w:t>Voluntary or imposed? Pressure to crunch</w:t>
        </w:r>
        <w:r w:rsidR="00693D05">
          <w:rPr>
            <w:noProof/>
            <w:webHidden/>
          </w:rPr>
          <w:tab/>
        </w:r>
        <w:r w:rsidR="00693D05">
          <w:rPr>
            <w:noProof/>
            <w:webHidden/>
          </w:rPr>
          <w:fldChar w:fldCharType="begin"/>
        </w:r>
        <w:r w:rsidR="00693D05">
          <w:rPr>
            <w:noProof/>
            <w:webHidden/>
          </w:rPr>
          <w:instrText xml:space="preserve"> PAGEREF _Toc428799777 \h </w:instrText>
        </w:r>
        <w:r w:rsidR="00693D05">
          <w:rPr>
            <w:noProof/>
            <w:webHidden/>
          </w:rPr>
        </w:r>
        <w:r w:rsidR="00693D05">
          <w:rPr>
            <w:noProof/>
            <w:webHidden/>
          </w:rPr>
          <w:fldChar w:fldCharType="separate"/>
        </w:r>
        <w:r w:rsidR="00B51146">
          <w:rPr>
            <w:noProof/>
            <w:webHidden/>
          </w:rPr>
          <w:t>32</w:t>
        </w:r>
        <w:r w:rsidR="00693D05">
          <w:rPr>
            <w:noProof/>
            <w:webHidden/>
          </w:rPr>
          <w:fldChar w:fldCharType="end"/>
        </w:r>
      </w:hyperlink>
    </w:p>
    <w:p w:rsidR="00693D05" w:rsidRDefault="00411118">
      <w:pPr>
        <w:pStyle w:val="TOC1"/>
        <w:tabs>
          <w:tab w:val="right" w:leader="dot" w:pos="8392"/>
        </w:tabs>
        <w:rPr>
          <w:rFonts w:asciiTheme="minorHAnsi" w:eastAsiaTheme="minorEastAsia" w:hAnsiTheme="minorHAnsi" w:cstheme="minorBidi"/>
          <w:b w:val="0"/>
          <w:caps w:val="0"/>
          <w:noProof/>
          <w:sz w:val="22"/>
          <w:szCs w:val="22"/>
        </w:rPr>
      </w:pPr>
      <w:hyperlink w:anchor="_Toc428799778" w:history="1">
        <w:r w:rsidR="00693D05" w:rsidRPr="00DF4227">
          <w:rPr>
            <w:rStyle w:val="Hyperlink"/>
            <w:noProof/>
            <w:lang w:val="en-CA"/>
          </w:rPr>
          <w:t>Conclusion</w:t>
        </w:r>
        <w:r w:rsidR="00693D05">
          <w:rPr>
            <w:noProof/>
            <w:webHidden/>
          </w:rPr>
          <w:tab/>
        </w:r>
        <w:r w:rsidR="00693D05">
          <w:rPr>
            <w:noProof/>
            <w:webHidden/>
          </w:rPr>
          <w:fldChar w:fldCharType="begin"/>
        </w:r>
        <w:r w:rsidR="00693D05">
          <w:rPr>
            <w:noProof/>
            <w:webHidden/>
          </w:rPr>
          <w:instrText xml:space="preserve"> PAGEREF _Toc428799778 \h </w:instrText>
        </w:r>
        <w:r w:rsidR="00693D05">
          <w:rPr>
            <w:noProof/>
            <w:webHidden/>
          </w:rPr>
        </w:r>
        <w:r w:rsidR="00693D05">
          <w:rPr>
            <w:noProof/>
            <w:webHidden/>
          </w:rPr>
          <w:fldChar w:fldCharType="separate"/>
        </w:r>
        <w:r w:rsidR="00B51146">
          <w:rPr>
            <w:noProof/>
            <w:webHidden/>
          </w:rPr>
          <w:t>33</w:t>
        </w:r>
        <w:r w:rsidR="00693D05">
          <w:rPr>
            <w:noProof/>
            <w:webHidden/>
          </w:rPr>
          <w:fldChar w:fldCharType="end"/>
        </w:r>
      </w:hyperlink>
    </w:p>
    <w:p w:rsidR="00693D05" w:rsidRDefault="00411118">
      <w:pPr>
        <w:pStyle w:val="TOC1"/>
        <w:tabs>
          <w:tab w:val="right" w:leader="dot" w:pos="8392"/>
        </w:tabs>
        <w:rPr>
          <w:rFonts w:asciiTheme="minorHAnsi" w:eastAsiaTheme="minorEastAsia" w:hAnsiTheme="minorHAnsi" w:cstheme="minorBidi"/>
          <w:b w:val="0"/>
          <w:caps w:val="0"/>
          <w:noProof/>
          <w:sz w:val="22"/>
          <w:szCs w:val="22"/>
        </w:rPr>
      </w:pPr>
      <w:hyperlink w:anchor="_Toc428799779" w:history="1">
        <w:r w:rsidR="00693D05" w:rsidRPr="00DF4227">
          <w:rPr>
            <w:rStyle w:val="Hyperlink"/>
            <w:noProof/>
            <w:lang w:val="en-CA"/>
          </w:rPr>
          <w:t>references</w:t>
        </w:r>
        <w:r w:rsidR="00693D05">
          <w:rPr>
            <w:noProof/>
            <w:webHidden/>
          </w:rPr>
          <w:tab/>
        </w:r>
        <w:r w:rsidR="00693D05">
          <w:rPr>
            <w:noProof/>
            <w:webHidden/>
          </w:rPr>
          <w:fldChar w:fldCharType="begin"/>
        </w:r>
        <w:r w:rsidR="00693D05">
          <w:rPr>
            <w:noProof/>
            <w:webHidden/>
          </w:rPr>
          <w:instrText xml:space="preserve"> PAGEREF _Toc428799779 \h </w:instrText>
        </w:r>
        <w:r w:rsidR="00693D05">
          <w:rPr>
            <w:noProof/>
            <w:webHidden/>
          </w:rPr>
        </w:r>
        <w:r w:rsidR="00693D05">
          <w:rPr>
            <w:noProof/>
            <w:webHidden/>
          </w:rPr>
          <w:fldChar w:fldCharType="separate"/>
        </w:r>
        <w:r w:rsidR="00B51146">
          <w:rPr>
            <w:noProof/>
            <w:webHidden/>
          </w:rPr>
          <w:t>34</w:t>
        </w:r>
        <w:r w:rsidR="00693D05">
          <w:rPr>
            <w:noProof/>
            <w:webHidden/>
          </w:rPr>
          <w:fldChar w:fldCharType="end"/>
        </w:r>
      </w:hyperlink>
    </w:p>
    <w:p w:rsidR="00ED0E89" w:rsidRDefault="00ED0E89" w:rsidP="00763264">
      <w:pPr>
        <w:pStyle w:val="p"/>
      </w:pPr>
      <w:r>
        <w:fldChar w:fldCharType="end"/>
      </w:r>
    </w:p>
    <w:p w:rsidR="00ED0E89" w:rsidRDefault="00ED0E89" w:rsidP="00ED0E89">
      <w:pPr>
        <w:spacing w:after="200" w:line="276" w:lineRule="auto"/>
        <w:jc w:val="left"/>
        <w:rPr>
          <w:rFonts w:ascii="Arial Narrow" w:hAnsi="Arial Narrow"/>
          <w:sz w:val="22"/>
        </w:rPr>
      </w:pPr>
      <w:r>
        <w:br w:type="page"/>
      </w:r>
    </w:p>
    <w:p w:rsidR="00E03A29" w:rsidRDefault="00E03A29" w:rsidP="00ED0E89">
      <w:pPr>
        <w:pStyle w:val="Heading1"/>
        <w:rPr>
          <w:lang w:val="en-CA"/>
        </w:rPr>
      </w:pPr>
      <w:bookmarkStart w:id="1" w:name="_Toc428799758"/>
      <w:bookmarkStart w:id="2" w:name="_Toc408662176"/>
    </w:p>
    <w:p w:rsidR="00ED0E89" w:rsidRDefault="00ED0E89" w:rsidP="00ED0E89">
      <w:pPr>
        <w:pStyle w:val="Heading1"/>
        <w:rPr>
          <w:lang w:val="en-CA"/>
        </w:rPr>
      </w:pPr>
      <w:r>
        <w:rPr>
          <w:lang w:val="en-CA"/>
        </w:rPr>
        <w:t>Acknowledgements</w:t>
      </w:r>
      <w:bookmarkEnd w:id="1"/>
    </w:p>
    <w:p w:rsidR="00ED0E89" w:rsidRDefault="00ED0E89" w:rsidP="00A04FCB">
      <w:pPr>
        <w:pStyle w:val="p0"/>
      </w:pPr>
      <w:r>
        <w:t>We would like to thank</w:t>
      </w:r>
      <w:r w:rsidRPr="003756ED">
        <w:t xml:space="preserve">: </w:t>
      </w:r>
    </w:p>
    <w:p w:rsidR="00ED0E89" w:rsidRPr="003756ED" w:rsidRDefault="00ED0E89" w:rsidP="00763264">
      <w:pPr>
        <w:pStyle w:val="e1"/>
      </w:pPr>
      <w:proofErr w:type="gramStart"/>
      <w:r>
        <w:t>-</w:t>
      </w:r>
      <w:r>
        <w:tab/>
        <w:t>Sarah Medeiros for her great commitment to the slow and careful task of processing and organizing the data from the 2014 IGDA Developer Satisfaction survey.</w:t>
      </w:r>
      <w:proofErr w:type="gramEnd"/>
      <w:r>
        <w:t xml:space="preserve"> Her attention to detail was </w:t>
      </w:r>
      <w:proofErr w:type="gramStart"/>
      <w:r>
        <w:t>key</w:t>
      </w:r>
      <w:proofErr w:type="gramEnd"/>
      <w:r>
        <w:t xml:space="preserve"> in ensuring a complete and accurate dataset.</w:t>
      </w:r>
    </w:p>
    <w:p w:rsidR="00ED0E89" w:rsidRDefault="00ED0E89" w:rsidP="00763264">
      <w:pPr>
        <w:pStyle w:val="e1"/>
      </w:pPr>
      <w:r w:rsidRPr="003756ED">
        <w:t>-</w:t>
      </w:r>
      <w:r w:rsidRPr="003756ED">
        <w:tab/>
        <w:t xml:space="preserve">Nancy Zenger for </w:t>
      </w:r>
      <w:r>
        <w:t xml:space="preserve">conducting the </w:t>
      </w:r>
      <w:r w:rsidRPr="003756ED">
        <w:t xml:space="preserve">Vancouver interviews, Marie-Soleil Ouellette and Pierson Browne for </w:t>
      </w:r>
      <w:r>
        <w:t xml:space="preserve">conducting the </w:t>
      </w:r>
      <w:r w:rsidRPr="003756ED">
        <w:t xml:space="preserve">Montreal interviews and </w:t>
      </w:r>
      <w:proofErr w:type="spellStart"/>
      <w:r>
        <w:t>Elham</w:t>
      </w:r>
      <w:proofErr w:type="spellEnd"/>
      <w:r>
        <w:t xml:space="preserve"> </w:t>
      </w:r>
      <w:proofErr w:type="spellStart"/>
      <w:r>
        <w:t>Marzi</w:t>
      </w:r>
      <w:proofErr w:type="spellEnd"/>
      <w:r>
        <w:t xml:space="preserve"> and Daniel </w:t>
      </w:r>
      <w:proofErr w:type="spellStart"/>
      <w:r w:rsidRPr="00577C4D">
        <w:t>Korn</w:t>
      </w:r>
      <w:proofErr w:type="spellEnd"/>
      <w:r w:rsidRPr="00577C4D">
        <w:t xml:space="preserve"> for </w:t>
      </w:r>
      <w:r>
        <w:t xml:space="preserve">conducting the </w:t>
      </w:r>
      <w:r w:rsidRPr="00577C4D">
        <w:t>Toronto interviews.</w:t>
      </w:r>
      <w:r w:rsidRPr="003756ED">
        <w:t xml:space="preserve"> </w:t>
      </w:r>
    </w:p>
    <w:p w:rsidR="00ED0E89" w:rsidRPr="003756ED" w:rsidRDefault="00ED0E89" w:rsidP="00763264">
      <w:pPr>
        <w:pStyle w:val="e1"/>
      </w:pPr>
      <w:proofErr w:type="gramStart"/>
      <w:r>
        <w:t>-</w:t>
      </w:r>
      <w:r>
        <w:tab/>
        <w:t xml:space="preserve">Joyce Truong, Sarah Medeiros, and Alyssa </w:t>
      </w:r>
      <w:proofErr w:type="spellStart"/>
      <w:r>
        <w:t>DeAngelis</w:t>
      </w:r>
      <w:proofErr w:type="spellEnd"/>
      <w:r>
        <w:t xml:space="preserve"> for transcribing the Toronto interviews.</w:t>
      </w:r>
      <w:proofErr w:type="gramEnd"/>
    </w:p>
    <w:p w:rsidR="00ED0E89" w:rsidRDefault="00ED0E89" w:rsidP="00763264">
      <w:pPr>
        <w:pStyle w:val="e1"/>
      </w:pPr>
      <w:r w:rsidRPr="00577C4D">
        <w:t>-</w:t>
      </w:r>
      <w:r w:rsidRPr="00577C4D">
        <w:tab/>
        <w:t>Pierson Browne and Laurence Tô for</w:t>
      </w:r>
      <w:r w:rsidRPr="003756ED">
        <w:t xml:space="preserve"> their dedication and the great quality of their work at transcribing, processing, coding, cleaning and aggregating interview data collected throughout the 2013-14 run of interviews in Montreal</w:t>
      </w:r>
      <w:r>
        <w:t>, Toronto and Vancouver</w:t>
      </w:r>
      <w:r w:rsidRPr="003756ED">
        <w:t>.</w:t>
      </w:r>
      <w:r>
        <w:t xml:space="preserve"> Without their painstaking control and double check in every operation, there would not be the needed accuracy to allow us to interpret the working time phenomenon among Canadian videogame developers. </w:t>
      </w:r>
    </w:p>
    <w:p w:rsidR="00ED0E89" w:rsidRDefault="00ED0E89" w:rsidP="00763264">
      <w:pPr>
        <w:pStyle w:val="e1"/>
      </w:pPr>
      <w:r>
        <w:t>-</w:t>
      </w:r>
      <w:r>
        <w:tab/>
        <w:t xml:space="preserve">Social Sciences and Humanities Research Council (SSHRC) for funding this research project. </w:t>
      </w:r>
    </w:p>
    <w:p w:rsidR="000B559F" w:rsidRDefault="000B559F">
      <w:pPr>
        <w:jc w:val="left"/>
        <w:rPr>
          <w:caps/>
          <w:spacing w:val="-4"/>
          <w:kern w:val="28"/>
          <w:sz w:val="28"/>
          <w:lang w:val="en-CA"/>
        </w:rPr>
      </w:pPr>
      <w:r>
        <w:rPr>
          <w:lang w:val="en-CA"/>
        </w:rPr>
        <w:br w:type="page"/>
      </w:r>
    </w:p>
    <w:p w:rsidR="00ED0E89" w:rsidRDefault="00ED0E89" w:rsidP="00ED0E89">
      <w:pPr>
        <w:pStyle w:val="Heading1"/>
        <w:rPr>
          <w:lang w:val="en-CA"/>
        </w:rPr>
      </w:pPr>
      <w:bookmarkStart w:id="3" w:name="_Toc428799759"/>
      <w:r w:rsidRPr="0019278B">
        <w:rPr>
          <w:lang w:val="en-CA"/>
        </w:rPr>
        <w:lastRenderedPageBreak/>
        <w:t>introduction</w:t>
      </w:r>
      <w:bookmarkEnd w:id="2"/>
      <w:bookmarkEnd w:id="3"/>
    </w:p>
    <w:p w:rsidR="00ED0E89" w:rsidRPr="00ED0E89" w:rsidRDefault="00ED0E89" w:rsidP="00763264">
      <w:pPr>
        <w:pStyle w:val="p"/>
      </w:pPr>
      <w:r w:rsidRPr="00ED0E89">
        <w:t xml:space="preserve">The international video game industry’s revenue is estimated to </w:t>
      </w:r>
      <w:r w:rsidR="00B44382">
        <w:t xml:space="preserve">be </w:t>
      </w:r>
      <w:r w:rsidRPr="00ED0E89">
        <w:t xml:space="preserve">91.5 billion US dollars in 2015 (Sinclair, 2015). </w:t>
      </w:r>
      <w:r w:rsidR="00B44382">
        <w:t>It follows that g</w:t>
      </w:r>
      <w:r w:rsidRPr="00ED0E89">
        <w:t>ame making generates a fair share of employment</w:t>
      </w:r>
      <w:r w:rsidR="00B44382">
        <w:t>, though this still needs to be systematically documents as the</w:t>
      </w:r>
      <w:r w:rsidRPr="00ED0E89">
        <w:t xml:space="preserve"> </w:t>
      </w:r>
      <w:r w:rsidR="00B44382">
        <w:t>secto</w:t>
      </w:r>
      <w:r w:rsidRPr="00ED0E89">
        <w:t xml:space="preserve">r </w:t>
      </w:r>
      <w:r w:rsidR="00B44382">
        <w:t xml:space="preserve">is both relatively </w:t>
      </w:r>
      <w:r w:rsidRPr="00ED0E89">
        <w:t xml:space="preserve">new and rapidly changing. </w:t>
      </w:r>
    </w:p>
    <w:p w:rsidR="00ED0E89" w:rsidRPr="00ED0E89" w:rsidRDefault="002403EF" w:rsidP="00763264">
      <w:pPr>
        <w:pStyle w:val="p"/>
      </w:pPr>
      <w:r w:rsidRPr="00BA4FD6">
        <w:t>According to a report of the Entertainment Software Association</w:t>
      </w:r>
      <w:r w:rsidR="00426FB0">
        <w:t xml:space="preserve"> (ESA)</w:t>
      </w:r>
      <w:r w:rsidRPr="00BA4FD6">
        <w:t xml:space="preserve"> (</w:t>
      </w:r>
      <w:proofErr w:type="spellStart"/>
      <w:r w:rsidRPr="00BA4FD6">
        <w:t>Siwek</w:t>
      </w:r>
      <w:proofErr w:type="spellEnd"/>
      <w:r w:rsidRPr="00BA4FD6">
        <w:t>, 2014), i</w:t>
      </w:r>
      <w:r w:rsidR="00ED0E89" w:rsidRPr="00BA4FD6">
        <w:t xml:space="preserve">n the USA </w:t>
      </w:r>
      <w:r w:rsidRPr="00BA4FD6">
        <w:t>alone</w:t>
      </w:r>
      <w:r w:rsidR="00ED0E89" w:rsidRPr="00BA4FD6">
        <w:t xml:space="preserve">, </w:t>
      </w:r>
      <w:r w:rsidRPr="00BA4FD6">
        <w:t xml:space="preserve">game companies are estimated </w:t>
      </w:r>
      <w:r w:rsidR="00426FB0">
        <w:t>to employ</w:t>
      </w:r>
      <w:r w:rsidRPr="00BA4FD6">
        <w:t xml:space="preserve"> 42,527 people overall</w:t>
      </w:r>
      <w:r w:rsidR="00ED0E89" w:rsidRPr="00BA4FD6">
        <w:t>. Th</w:t>
      </w:r>
      <w:r w:rsidR="00ED0E89" w:rsidRPr="00ED0E89">
        <w:t xml:space="preserve">e annual job growth for the video game industry (9%) increased more than 13 times the rate of the US labor market (0.72%) during the same period. </w:t>
      </w:r>
      <w:r w:rsidR="00B44382">
        <w:t>Similarly, t</w:t>
      </w:r>
      <w:r w:rsidR="00ED0E89" w:rsidRPr="00ED0E89">
        <w:rPr>
          <w:lang w:eastAsia="en-US"/>
        </w:rPr>
        <w:t xml:space="preserve">he </w:t>
      </w:r>
      <w:r w:rsidR="00ED0E89" w:rsidRPr="00ED0E89">
        <w:t xml:space="preserve">annual growth rate </w:t>
      </w:r>
      <w:r w:rsidR="00ED0E89" w:rsidRPr="00ED0E89">
        <w:rPr>
          <w:lang w:eastAsia="en-US"/>
        </w:rPr>
        <w:t xml:space="preserve">of the US video game industry was 9.7% between 2009 and 2012, which </w:t>
      </w:r>
      <w:r w:rsidR="00ED0E89" w:rsidRPr="00ED0E89">
        <w:t xml:space="preserve">was four times the </w:t>
      </w:r>
      <w:r w:rsidR="00B44382">
        <w:t xml:space="preserve">real </w:t>
      </w:r>
      <w:r w:rsidR="00ED0E89" w:rsidRPr="00ED0E89">
        <w:t>growth of the American</w:t>
      </w:r>
      <w:r>
        <w:t xml:space="preserve"> economy during the same period</w:t>
      </w:r>
      <w:r w:rsidR="00ED0E89" w:rsidRPr="00ED0E89">
        <w:t xml:space="preserve">. In Canada, 16,500 </w:t>
      </w:r>
      <w:r w:rsidR="00B44382">
        <w:t xml:space="preserve">are directly employed </w:t>
      </w:r>
      <w:r w:rsidR="00ED0E89" w:rsidRPr="00ED0E89">
        <w:t xml:space="preserve">in this industry (ESAC, 2014). </w:t>
      </w:r>
    </w:p>
    <w:p w:rsidR="00ED0E89" w:rsidRPr="00ED0E89" w:rsidRDefault="00ED0E89" w:rsidP="00763264">
      <w:pPr>
        <w:pStyle w:val="p"/>
      </w:pPr>
      <w:r w:rsidRPr="00ED0E89">
        <w:t xml:space="preserve">In </w:t>
      </w:r>
      <w:r w:rsidR="002403EF">
        <w:t xml:space="preserve">the </w:t>
      </w:r>
      <w:r w:rsidRPr="00ED0E89">
        <w:t xml:space="preserve">UK, </w:t>
      </w:r>
      <w:r w:rsidR="002403EF">
        <w:t>it is estimated that the video game</w:t>
      </w:r>
      <w:r w:rsidRPr="00ED0E89">
        <w:t xml:space="preserve"> industry employs 30,000 workers (University of Kent Careers a</w:t>
      </w:r>
      <w:r w:rsidR="002403EF">
        <w:t>nd Employability Service, 2015)</w:t>
      </w:r>
      <w:r w:rsidRPr="00ED0E89">
        <w:t xml:space="preserve"> </w:t>
      </w:r>
      <w:r w:rsidR="002403EF">
        <w:t xml:space="preserve">with </w:t>
      </w:r>
      <w:r w:rsidRPr="00ED0E89">
        <w:t xml:space="preserve">over 9,000 </w:t>
      </w:r>
      <w:r w:rsidR="002403EF">
        <w:t xml:space="preserve">of </w:t>
      </w:r>
      <w:r w:rsidRPr="00ED0E89">
        <w:t xml:space="preserve">these </w:t>
      </w:r>
      <w:r w:rsidR="002403EF">
        <w:t xml:space="preserve">being </w:t>
      </w:r>
      <w:r w:rsidRPr="00ED0E89">
        <w:t>highly skilled d</w:t>
      </w:r>
      <w:r w:rsidR="002403EF">
        <w:t>evelopment staff, according to</w:t>
      </w:r>
      <w:r w:rsidRPr="00ED0E89">
        <w:t xml:space="preserve"> trade association of developers in the UK (TIGA, 2015). </w:t>
      </w:r>
    </w:p>
    <w:p w:rsidR="00ED0E89" w:rsidRDefault="00ED0E89" w:rsidP="00763264">
      <w:pPr>
        <w:pStyle w:val="p"/>
      </w:pPr>
      <w:r w:rsidRPr="00ED0E89">
        <w:t xml:space="preserve">The industry is an object of unrelenting critics about its working conditions and is often accused in social media of treating its development talent poorly (for just a quick snap-shot: Acton, 2010; </w:t>
      </w:r>
      <w:proofErr w:type="spellStart"/>
      <w:r w:rsidRPr="00ED0E89">
        <w:t>Handman</w:t>
      </w:r>
      <w:proofErr w:type="spellEnd"/>
      <w:r w:rsidRPr="00ED0E89">
        <w:t xml:space="preserve">, 2005; Hyman, 2008; Kennedy, 2007; </w:t>
      </w:r>
      <w:proofErr w:type="spellStart"/>
      <w:r w:rsidRPr="00ED0E89">
        <w:t>Rockstar</w:t>
      </w:r>
      <w:proofErr w:type="spellEnd"/>
      <w:r w:rsidRPr="00ED0E89">
        <w:t xml:space="preserve"> Spouse, 2010; Scott, 2014). According to the 2014 Developer Satisfaction Survey (DSS) survey of the I</w:t>
      </w:r>
      <w:r w:rsidR="002403EF">
        <w:t xml:space="preserve">nternational </w:t>
      </w:r>
      <w:r w:rsidRPr="00ED0E89">
        <w:t>G</w:t>
      </w:r>
      <w:r w:rsidR="002403EF">
        <w:t xml:space="preserve">ame </w:t>
      </w:r>
      <w:r w:rsidRPr="00ED0E89">
        <w:t>D</w:t>
      </w:r>
      <w:r w:rsidR="002403EF">
        <w:t xml:space="preserve">evelopers </w:t>
      </w:r>
      <w:r w:rsidRPr="00ED0E89">
        <w:t>A</w:t>
      </w:r>
      <w:r w:rsidR="002403EF">
        <w:t>ssociation (IGDA)</w:t>
      </w:r>
      <w:r w:rsidRPr="00ED0E89">
        <w:t>, when considering the social perceptions of the game industry, whi</w:t>
      </w:r>
      <w:r w:rsidR="00C03AFC">
        <w:t>le approximately a quarter (24</w:t>
      </w:r>
      <w:r w:rsidRPr="00ED0E89">
        <w:t>%) remain “neutral,” 42% believe that there is a positive p</w:t>
      </w:r>
      <w:r w:rsidR="00C03AFC">
        <w:t>erception of the industry and</w:t>
      </w:r>
      <w:r w:rsidRPr="00ED0E89">
        <w:t xml:space="preserve"> 32% believe there is a negative perception. In considering some of the factors that might lead to the games industry having a negative perception from the public, it is interesting to note that “working conditions” was the top response (68%), before “sexism in the games” (67%) and “perceived link to violence” (62%) </w:t>
      </w:r>
      <w:proofErr w:type="gramStart"/>
      <w:r w:rsidRPr="00ED0E89">
        <w:t>(Edwards, Weststar, Meloni, Pearce &amp; Legault, 2014).</w:t>
      </w:r>
      <w:proofErr w:type="gramEnd"/>
      <w:r w:rsidRPr="00ED0E89">
        <w:t xml:space="preserve"> Among those engaged in core game development roles (i.e., programming, audio production, visual art, and game design), this number rises to 77% (</w:t>
      </w:r>
      <w:proofErr w:type="spellStart"/>
      <w:r w:rsidRPr="00ED0E89">
        <w:t>Weststar</w:t>
      </w:r>
      <w:proofErr w:type="spellEnd"/>
      <w:r w:rsidRPr="00ED0E89">
        <w:t xml:space="preserve"> &amp; Andrei-</w:t>
      </w:r>
      <w:proofErr w:type="spellStart"/>
      <w:r w:rsidRPr="00ED0E89">
        <w:t>Gedja</w:t>
      </w:r>
      <w:proofErr w:type="spellEnd"/>
      <w:r w:rsidRPr="00ED0E89">
        <w:t>, 2015).</w:t>
      </w:r>
    </w:p>
    <w:p w:rsidR="00C03AFC" w:rsidRPr="00BA4FD6" w:rsidRDefault="00C03AFC" w:rsidP="00BA4FD6">
      <w:pPr>
        <w:pStyle w:val="p"/>
      </w:pPr>
      <w:r w:rsidRPr="00BA4FD6">
        <w:t>Poor working conditions have repercussions for workers, studios and the industry as a whole</w:t>
      </w:r>
      <w:r w:rsidR="00A91ED1" w:rsidRPr="00BA4FD6">
        <w:t xml:space="preserve"> - for instance: stress, burn-out, work-life balance challenges, high turnover and associated attraction, retention and knowledge management challenges</w:t>
      </w:r>
      <w:r w:rsidRPr="00BA4FD6">
        <w:t>. Working conditions</w:t>
      </w:r>
      <w:r w:rsidR="00A91ED1" w:rsidRPr="00BA4FD6">
        <w:t xml:space="preserve"> in traditional studios</w:t>
      </w:r>
      <w:r w:rsidRPr="00BA4FD6">
        <w:t xml:space="preserve"> may also be related to the rise in self-employment and independent development in the industry. It is therefore critical to </w:t>
      </w:r>
      <w:r w:rsidR="00A91ED1" w:rsidRPr="00BA4FD6">
        <w:t>better document the working conditions of game developers and assess this as an important factor in the health of the industry.</w:t>
      </w:r>
    </w:p>
    <w:p w:rsidR="00A91ED1" w:rsidRPr="00ED0E89" w:rsidRDefault="00ED0E89" w:rsidP="00A91ED1">
      <w:pPr>
        <w:pStyle w:val="p"/>
      </w:pPr>
      <w:r w:rsidRPr="00BA4FD6">
        <w:rPr>
          <w:lang w:eastAsia="en-US"/>
        </w:rPr>
        <w:t>In</w:t>
      </w:r>
      <w:r w:rsidR="00A91ED1" w:rsidRPr="00BA4FD6">
        <w:rPr>
          <w:lang w:eastAsia="en-US"/>
        </w:rPr>
        <w:t xml:space="preserve"> response to a gap in this knowledge,</w:t>
      </w:r>
      <w:r w:rsidRPr="00BA4FD6">
        <w:rPr>
          <w:lang w:eastAsia="en-US"/>
        </w:rPr>
        <w:t xml:space="preserve"> the IGDA launched its initial </w:t>
      </w:r>
      <w:r w:rsidRPr="00BA4FD6">
        <w:rPr>
          <w:i/>
          <w:lang w:eastAsia="en-US"/>
        </w:rPr>
        <w:t>Quality of Life</w:t>
      </w:r>
      <w:r w:rsidRPr="00BA4FD6">
        <w:rPr>
          <w:lang w:eastAsia="en-US"/>
        </w:rPr>
        <w:t xml:space="preserve"> (</w:t>
      </w:r>
      <w:proofErr w:type="spellStart"/>
      <w:r w:rsidRPr="00BA4FD6">
        <w:rPr>
          <w:lang w:eastAsia="en-US"/>
        </w:rPr>
        <w:t>QoL</w:t>
      </w:r>
      <w:proofErr w:type="spellEnd"/>
      <w:r w:rsidRPr="00BA4FD6">
        <w:rPr>
          <w:lang w:eastAsia="en-US"/>
        </w:rPr>
        <w:t xml:space="preserve">) </w:t>
      </w:r>
      <w:r w:rsidRPr="00BA4FD6">
        <w:rPr>
          <w:lang w:eastAsia="en-US"/>
        </w:rPr>
        <w:lastRenderedPageBreak/>
        <w:t xml:space="preserve">survey in </w:t>
      </w:r>
      <w:r w:rsidR="00A91ED1" w:rsidRPr="00BA4FD6">
        <w:rPr>
          <w:lang w:eastAsia="en-US"/>
        </w:rPr>
        <w:t xml:space="preserve">2004 as </w:t>
      </w:r>
      <w:r w:rsidRPr="00BA4FD6">
        <w:rPr>
          <w:lang w:eastAsia="en-US"/>
        </w:rPr>
        <w:t xml:space="preserve">an effort to gain a much clearer understanding of some employment issues – from “crunch time” to compensation issues. </w:t>
      </w:r>
      <w:r w:rsidR="00A91ED1" w:rsidRPr="00BA4FD6">
        <w:t>The IGDA is a non-profit membership organization of individual creators of video games that aims to connect members</w:t>
      </w:r>
      <w:r w:rsidR="00A91ED1" w:rsidRPr="00ED0E89">
        <w:t xml:space="preserve"> with their peers, promote game development as a profession and the professional development of its members, and advocate on issues that affect the developer community. It also provides some detailed quantitative information on the industry, based on regular surveys on employment, demography, industry and market trends, etc. </w:t>
      </w:r>
    </w:p>
    <w:p w:rsidR="00ED0E89" w:rsidRDefault="00ED0E89" w:rsidP="00A91ED1">
      <w:pPr>
        <w:pStyle w:val="p"/>
        <w:rPr>
          <w:lang w:eastAsia="en-US"/>
        </w:rPr>
      </w:pPr>
      <w:r w:rsidRPr="00ED0E89">
        <w:rPr>
          <w:lang w:eastAsia="en-US"/>
        </w:rPr>
        <w:t>In 2009, the IGDA partnered with us to develop a new version of the Quality of Life survey and to pr</w:t>
      </w:r>
      <w:r w:rsidR="00A91ED1">
        <w:rPr>
          <w:lang w:eastAsia="en-US"/>
        </w:rPr>
        <w:t xml:space="preserve">ocess and analyse its results. </w:t>
      </w:r>
      <w:r w:rsidRPr="00ED0E89">
        <w:rPr>
          <w:lang w:eastAsia="en-US"/>
        </w:rPr>
        <w:t xml:space="preserve">In 2014, this partnership took a broader scope, both including a larger team and focusing on employment, demography and the state of the industry in a more encompassing </w:t>
      </w:r>
      <w:r w:rsidRPr="00ED0E89">
        <w:rPr>
          <w:i/>
          <w:lang w:eastAsia="en-US"/>
        </w:rPr>
        <w:t>Developers’ Satisfaction Survey</w:t>
      </w:r>
      <w:r w:rsidRPr="00ED0E89">
        <w:rPr>
          <w:lang w:eastAsia="en-US"/>
        </w:rPr>
        <w:t xml:space="preserve"> (DSS). This new survey aimed at conducting the </w:t>
      </w:r>
      <w:r w:rsidR="00A91ED1">
        <w:rPr>
          <w:lang w:eastAsia="en-US"/>
        </w:rPr>
        <w:t xml:space="preserve">third iteration of the </w:t>
      </w:r>
      <w:proofErr w:type="spellStart"/>
      <w:r w:rsidRPr="00ED0E89">
        <w:rPr>
          <w:lang w:eastAsia="en-US"/>
        </w:rPr>
        <w:t>QoL</w:t>
      </w:r>
      <w:proofErr w:type="spellEnd"/>
      <w:r w:rsidRPr="00ED0E89">
        <w:rPr>
          <w:lang w:eastAsia="en-US"/>
        </w:rPr>
        <w:t xml:space="preserve"> survey, while adding Demographic and State of</w:t>
      </w:r>
      <w:r w:rsidR="00A91ED1">
        <w:rPr>
          <w:lang w:eastAsia="en-US"/>
        </w:rPr>
        <w:t xml:space="preserve"> the Industry questions</w:t>
      </w:r>
      <w:r w:rsidRPr="00ED0E89">
        <w:rPr>
          <w:lang w:eastAsia="en-US"/>
        </w:rPr>
        <w:t xml:space="preserve"> in an attempt to have a snapshot of the whole environment at once.</w:t>
      </w:r>
    </w:p>
    <w:p w:rsidR="000A40B0" w:rsidRPr="00ED0E89" w:rsidRDefault="000A40B0" w:rsidP="00A91ED1">
      <w:pPr>
        <w:pStyle w:val="p"/>
        <w:rPr>
          <w:lang w:eastAsia="en-US"/>
        </w:rPr>
      </w:pPr>
      <w:r>
        <w:rPr>
          <w:lang w:eastAsia="en-US"/>
        </w:rPr>
        <w:t xml:space="preserve">These three datasets </w:t>
      </w:r>
      <w:r>
        <w:t>allow</w:t>
      </w:r>
      <w:r w:rsidRPr="00ED0E89">
        <w:t xml:space="preserve"> us to compare three </w:t>
      </w:r>
      <w:r w:rsidRPr="00ED0E89">
        <w:rPr>
          <w:lang w:eastAsia="en-US"/>
        </w:rPr>
        <w:t>milestones</w:t>
      </w:r>
      <w:r w:rsidRPr="00ED0E89">
        <w:t xml:space="preserve"> in the young life of this industry</w:t>
      </w:r>
      <w:r w:rsidRPr="00ED0E89">
        <w:rPr>
          <w:lang w:eastAsia="en-US"/>
        </w:rPr>
        <w:t>.</w:t>
      </w:r>
    </w:p>
    <w:p w:rsidR="000A40B0" w:rsidRPr="00645509" w:rsidRDefault="00EC3B9E" w:rsidP="000A40B0">
      <w:pPr>
        <w:pStyle w:val="p"/>
      </w:pPr>
      <w:r w:rsidRPr="00645509">
        <w:rPr>
          <w:lang w:eastAsia="en-US"/>
        </w:rPr>
        <w:t>In particular, t</w:t>
      </w:r>
      <w:r w:rsidR="000A40B0" w:rsidRPr="00645509">
        <w:rPr>
          <w:lang w:eastAsia="en-US"/>
        </w:rPr>
        <w:t xml:space="preserve">he labor issue of working time stands out among others that besmirch the industry’s image: </w:t>
      </w:r>
      <w:r w:rsidR="000A40B0" w:rsidRPr="00645509">
        <w:t xml:space="preserve">discretionary rules in establishing wage levels, in appointing to projects, in attributing credits, insufficient intellectual property rules and funds for updating knowledge; lack of job security and arbitrary hiring and firing decision processes; non-disclosure and non-competition agreements that may end up in legal proceedings. </w:t>
      </w:r>
    </w:p>
    <w:p w:rsidR="00EC3B9E" w:rsidRPr="00645509" w:rsidRDefault="000A40B0" w:rsidP="00EC3B9E">
      <w:pPr>
        <w:pStyle w:val="p"/>
        <w:rPr>
          <w:lang w:val="en"/>
        </w:rPr>
      </w:pPr>
      <w:r w:rsidRPr="00645509">
        <w:t xml:space="preserve">Long working hours have become an inescapable feature of the industry where developers are often bound by contracts that do not </w:t>
      </w:r>
      <w:r w:rsidRPr="00645509">
        <w:rPr>
          <w:lang w:val="en"/>
        </w:rPr>
        <w:t xml:space="preserve">include any terms and conditions of employment relating to hours of work and normal working hours or any policy regarding overtime work and compensation. </w:t>
      </w:r>
      <w:r w:rsidR="00EC3B9E" w:rsidRPr="00645509">
        <w:t xml:space="preserve">The phenomenon raises ethical issues, like unlimited unpaid overtime work and reduction of free time, that need to be addressed. They have an impact on worker health, quality of family life, productivity (mistakes resulting from fatigue), and income and equity (when the hours are unpaid yet necessary and, in a way, requested). </w:t>
      </w:r>
    </w:p>
    <w:p w:rsidR="00ED0E89" w:rsidRPr="00645509" w:rsidRDefault="00ED0E89" w:rsidP="00763264">
      <w:pPr>
        <w:pStyle w:val="p"/>
      </w:pPr>
      <w:r w:rsidRPr="00645509">
        <w:rPr>
          <w:lang w:eastAsia="en-US"/>
        </w:rPr>
        <w:t xml:space="preserve">What we aim to do </w:t>
      </w:r>
      <w:r w:rsidR="000A40B0" w:rsidRPr="00645509">
        <w:rPr>
          <w:lang w:eastAsia="en-US"/>
        </w:rPr>
        <w:t xml:space="preserve">as part of our research program on working conditions in the game industry </w:t>
      </w:r>
      <w:r w:rsidRPr="00645509">
        <w:rPr>
          <w:lang w:eastAsia="en-US"/>
        </w:rPr>
        <w:t>is to</w:t>
      </w:r>
      <w:r w:rsidR="000A40B0" w:rsidRPr="00645509">
        <w:rPr>
          <w:lang w:eastAsia="en-US"/>
        </w:rPr>
        <w:t>: a)</w:t>
      </w:r>
      <w:r w:rsidRPr="00645509">
        <w:rPr>
          <w:lang w:eastAsia="en-US"/>
        </w:rPr>
        <w:t xml:space="preserve"> take stock of the evolution in the international i</w:t>
      </w:r>
      <w:r w:rsidR="000A40B0" w:rsidRPr="00645509">
        <w:rPr>
          <w:lang w:eastAsia="en-US"/>
        </w:rPr>
        <w:t>ndustry’s issue of working time; b)</w:t>
      </w:r>
      <w:r w:rsidRPr="00645509">
        <w:rPr>
          <w:lang w:eastAsia="en-US"/>
        </w:rPr>
        <w:t xml:space="preserve"> </w:t>
      </w:r>
      <w:r w:rsidRPr="00645509">
        <w:t>to shed some light on working time in the Canadian videogame industry in particular and as compared to the int</w:t>
      </w:r>
      <w:r w:rsidR="000A40B0" w:rsidRPr="00645509">
        <w:t>ernational situation;</w:t>
      </w:r>
      <w:r w:rsidRPr="00645509">
        <w:t xml:space="preserve"> and </w:t>
      </w:r>
      <w:r w:rsidR="000A40B0" w:rsidRPr="00645509">
        <w:t xml:space="preserve">c) </w:t>
      </w:r>
      <w:r w:rsidRPr="00645509">
        <w:t xml:space="preserve">to paint a detailed portrait of the phenomenon as experienced in our specific context. </w:t>
      </w:r>
      <w:r w:rsidR="000A40B0" w:rsidRPr="00645509">
        <w:t>This report is a piece in that puzzle as we</w:t>
      </w:r>
      <w:r w:rsidRPr="00645509">
        <w:t xml:space="preserve"> begin by laying out here the plain raw results without any theoretical framework. </w:t>
      </w:r>
    </w:p>
    <w:p w:rsidR="006E1C92" w:rsidRDefault="006E1C92">
      <w:pPr>
        <w:jc w:val="left"/>
        <w:rPr>
          <w:caps/>
          <w:spacing w:val="-4"/>
          <w:kern w:val="28"/>
          <w:sz w:val="28"/>
          <w:lang w:val="en-CA"/>
        </w:rPr>
      </w:pPr>
      <w:bookmarkStart w:id="4" w:name="_Toc408662177"/>
      <w:r>
        <w:rPr>
          <w:lang w:val="en-CA"/>
        </w:rPr>
        <w:br w:type="page"/>
      </w:r>
    </w:p>
    <w:p w:rsidR="00ED0E89" w:rsidRPr="00EA0FF7" w:rsidRDefault="00ED0E89" w:rsidP="00ED0E89">
      <w:pPr>
        <w:pStyle w:val="Heading1"/>
        <w:rPr>
          <w:lang w:val="en-CA"/>
        </w:rPr>
      </w:pPr>
      <w:bookmarkStart w:id="5" w:name="_Toc428799760"/>
      <w:r w:rsidRPr="00EA0FF7">
        <w:rPr>
          <w:lang w:val="en-CA"/>
        </w:rPr>
        <w:lastRenderedPageBreak/>
        <w:t>methods</w:t>
      </w:r>
      <w:bookmarkEnd w:id="4"/>
      <w:bookmarkEnd w:id="5"/>
    </w:p>
    <w:p w:rsidR="00ED0E89" w:rsidRPr="00ED0E89" w:rsidRDefault="00ED0E89" w:rsidP="00763264">
      <w:pPr>
        <w:pStyle w:val="p"/>
      </w:pPr>
      <w:r w:rsidRPr="00ED0E89">
        <w:t>I</w:t>
      </w:r>
      <w:r w:rsidR="000B559F">
        <w:t>n this report we will discuss 15</w:t>
      </w:r>
      <w:r w:rsidRPr="00ED0E89">
        <w:t xml:space="preserve"> years of evolution in working time among video game developers only; we will not focus on upstream activities along the value chain (funding, publishing, production of tools, middleware, engines, software platforms, </w:t>
      </w:r>
      <w:proofErr w:type="spellStart"/>
      <w:r w:rsidRPr="00ED0E89">
        <w:t>etc</w:t>
      </w:r>
      <w:proofErr w:type="spellEnd"/>
      <w:r w:rsidRPr="00ED0E89">
        <w:t>) nor on downstream activities (marketing, distribution, etc.). We are here focusing on game designers, interaction and level designers, programmers, 2D and 3D artists</w:t>
      </w:r>
      <w:r w:rsidRPr="00645509">
        <w:t>,</w:t>
      </w:r>
      <w:r w:rsidR="00EC3B9E" w:rsidRPr="00645509">
        <w:t xml:space="preserve"> audio artists,</w:t>
      </w:r>
      <w:r w:rsidRPr="00645509">
        <w:t xml:space="preserve"> writers or narrative designers, localisation experts, etc. We are not including quality testers</w:t>
      </w:r>
      <w:r w:rsidR="00EC3B9E" w:rsidRPr="00645509">
        <w:t>, managers,</w:t>
      </w:r>
      <w:r w:rsidRPr="00645509">
        <w:t xml:space="preserve"> </w:t>
      </w:r>
      <w:proofErr w:type="gramStart"/>
      <w:r w:rsidRPr="00645509">
        <w:t>nor</w:t>
      </w:r>
      <w:proofErr w:type="gramEnd"/>
      <w:r w:rsidRPr="00645509">
        <w:t xml:space="preserve"> team leads.</w:t>
      </w:r>
      <w:r w:rsidRPr="00ED0E89">
        <w:t xml:space="preserve"> </w:t>
      </w:r>
    </w:p>
    <w:p w:rsidR="00A04FCB" w:rsidRDefault="00ED0E89" w:rsidP="00A04FCB">
      <w:pPr>
        <w:pStyle w:val="p"/>
      </w:pPr>
      <w:r w:rsidRPr="00627C97">
        <w:t xml:space="preserve">Two sets of data inform our discussion. </w:t>
      </w:r>
    </w:p>
    <w:p w:rsidR="00A04FCB" w:rsidRPr="00A04FCB" w:rsidRDefault="00A04FCB" w:rsidP="00A04FCB">
      <w:pPr>
        <w:pStyle w:val="Heading2"/>
        <w:rPr>
          <w:lang w:val="en-CA"/>
        </w:rPr>
      </w:pPr>
      <w:bookmarkStart w:id="6" w:name="_Toc455661444"/>
      <w:bookmarkStart w:id="7" w:name="_Toc458522649"/>
      <w:r w:rsidRPr="0076418E">
        <w:rPr>
          <w:lang w:val="en-CA"/>
        </w:rPr>
        <w:t>Quantitative data</w:t>
      </w:r>
      <w:bookmarkEnd w:id="6"/>
      <w:bookmarkEnd w:id="7"/>
    </w:p>
    <w:p w:rsidR="00A04FCB" w:rsidRPr="0076418E" w:rsidRDefault="00A04FCB" w:rsidP="00A04FCB">
      <w:pPr>
        <w:pStyle w:val="p"/>
      </w:pPr>
      <w:r w:rsidRPr="0076418E">
        <w:t xml:space="preserve">We are partners of the International Game Developers Association (IGDA) in administrating, processing and analysing their on-line surveys with VGDs. IGDA is a non-profit membership organization of individual creators of video games that aims to connect members with their peers, promote game development as a profession and the professional development of its members, and advocate on issues that affect the developer community. It also provides some detailed quantitative information on the industry, based on regular surveys on employment, demography, industry and market trends, etc. </w:t>
      </w:r>
    </w:p>
    <w:p w:rsidR="00A04FCB" w:rsidRPr="0076418E" w:rsidRDefault="00A04FCB" w:rsidP="00A04FCB">
      <w:pPr>
        <w:pStyle w:val="p"/>
      </w:pPr>
      <w:r w:rsidRPr="0076418E">
        <w:t xml:space="preserve">In 2004, the IGDA launched its initial </w:t>
      </w:r>
      <w:r w:rsidRPr="0076418E">
        <w:rPr>
          <w:i/>
        </w:rPr>
        <w:t xml:space="preserve">Quality of Life </w:t>
      </w:r>
      <w:r w:rsidRPr="0076418E">
        <w:t>(</w:t>
      </w:r>
      <w:proofErr w:type="spellStart"/>
      <w:r w:rsidRPr="0076418E">
        <w:t>QoL</w:t>
      </w:r>
      <w:proofErr w:type="spellEnd"/>
      <w:r w:rsidRPr="0076418E">
        <w:t xml:space="preserve">) survey in an effort to gain a much clearer understanding of some employment issues – from “crunch time” to compensation issues. In 2009, the IGDA partnered with us to develop a new version of the Quality of Life survey and to process and analyse its results. </w:t>
      </w:r>
    </w:p>
    <w:p w:rsidR="00A04FCB" w:rsidRPr="0076418E" w:rsidRDefault="00A04FCB" w:rsidP="00A04FCB">
      <w:pPr>
        <w:pStyle w:val="p"/>
        <w:rPr>
          <w:lang w:eastAsia="x-none"/>
        </w:rPr>
      </w:pPr>
      <w:r w:rsidRPr="0076418E">
        <w:t xml:space="preserve">In 2014, this partnership took a broader scope, both including a larger team and focusing on employment, demography and the state of the industry in a more encompassing </w:t>
      </w:r>
      <w:r w:rsidRPr="0076418E">
        <w:rPr>
          <w:i/>
        </w:rPr>
        <w:t xml:space="preserve">Developers’ Satisfaction Survey </w:t>
      </w:r>
      <w:r w:rsidRPr="0076418E">
        <w:t xml:space="preserve">(DSS). This new survey aimed at conducting the </w:t>
      </w:r>
      <w:proofErr w:type="spellStart"/>
      <w:r w:rsidRPr="0076418E">
        <w:t>QoL</w:t>
      </w:r>
      <w:proofErr w:type="spellEnd"/>
      <w:r w:rsidRPr="0076418E">
        <w:t xml:space="preserve"> survey in a third milestone, while adding Demographic and State of the Industry questionnaires to the first one in an attempt to have a snapshot of the whole environment at once.</w:t>
      </w:r>
    </w:p>
    <w:p w:rsidR="00A04FCB" w:rsidRPr="0076418E" w:rsidRDefault="00A04FCB" w:rsidP="00A04FCB">
      <w:pPr>
        <w:pStyle w:val="p0"/>
      </w:pPr>
      <w:r w:rsidRPr="0076418E">
        <w:t>A first set of data consists of statistical data collected in three IGDA surveys:</w:t>
      </w:r>
    </w:p>
    <w:p w:rsidR="00ED0E89" w:rsidRDefault="00ED0E89" w:rsidP="00763264">
      <w:pPr>
        <w:pStyle w:val="e1"/>
      </w:pPr>
      <w:r>
        <w:t>-</w:t>
      </w:r>
      <w:r>
        <w:tab/>
      </w:r>
      <w:r w:rsidRPr="005A5AF7">
        <w:t>2004 Quality of Life survey (1000 respondents)</w:t>
      </w:r>
    </w:p>
    <w:p w:rsidR="00ED0E89" w:rsidRDefault="00ED0E89" w:rsidP="00763264">
      <w:pPr>
        <w:pStyle w:val="e1"/>
      </w:pPr>
      <w:r>
        <w:t>-</w:t>
      </w:r>
      <w:r>
        <w:tab/>
      </w:r>
      <w:r w:rsidRPr="005A5AF7">
        <w:t>2009 Quality of Life survey</w:t>
      </w:r>
      <w:r>
        <w:t xml:space="preserve"> (</w:t>
      </w:r>
      <w:r w:rsidRPr="005A5AF7">
        <w:t>3362 respondents)</w:t>
      </w:r>
    </w:p>
    <w:p w:rsidR="00ED0E89" w:rsidRPr="005A5AF7" w:rsidRDefault="00ED0E89" w:rsidP="00ED0E89">
      <w:pPr>
        <w:pStyle w:val="e10"/>
        <w:rPr>
          <w:lang w:val="en-CA"/>
        </w:rPr>
      </w:pPr>
      <w:r>
        <w:rPr>
          <w:lang w:val="en-CA"/>
        </w:rPr>
        <w:t>-</w:t>
      </w:r>
      <w:r>
        <w:rPr>
          <w:lang w:val="en-CA"/>
        </w:rPr>
        <w:tab/>
      </w:r>
      <w:r w:rsidRPr="005A5AF7">
        <w:rPr>
          <w:lang w:val="en-CA"/>
        </w:rPr>
        <w:t>2014 Developer Satisfaction Survey (DSS) (2202 respondents).</w:t>
      </w:r>
    </w:p>
    <w:p w:rsidR="00ED0E89" w:rsidRPr="00645509" w:rsidRDefault="00ED0E89" w:rsidP="00763264">
      <w:pPr>
        <w:pStyle w:val="p"/>
      </w:pPr>
      <w:r w:rsidRPr="00645509">
        <w:t xml:space="preserve">For the purpose of this report we will not use </w:t>
      </w:r>
      <w:r w:rsidR="00EC3B9E" w:rsidRPr="00645509">
        <w:t>the data from all the respondents.</w:t>
      </w:r>
      <w:r w:rsidRPr="00645509">
        <w:t xml:space="preserve"> The</w:t>
      </w:r>
      <w:r w:rsidR="00EC3B9E" w:rsidRPr="00645509">
        <w:t xml:space="preserve"> surveys were pitched broadly and therefore senior managers,</w:t>
      </w:r>
      <w:r w:rsidRPr="00645509">
        <w:t xml:space="preserve"> project managers and team leads could answer and share their views as well as salaried and freelance developers, would-be developers</w:t>
      </w:r>
      <w:r w:rsidR="00EC3B9E" w:rsidRPr="00645509">
        <w:t>,</w:t>
      </w:r>
      <w:r w:rsidRPr="00645509">
        <w:t xml:space="preserve"> people who left the industry</w:t>
      </w:r>
      <w:r w:rsidR="00EC3B9E" w:rsidRPr="00645509">
        <w:t xml:space="preserve">, students and others more tangentially related to the </w:t>
      </w:r>
      <w:r w:rsidR="00EC3B9E" w:rsidRPr="00645509">
        <w:lastRenderedPageBreak/>
        <w:t>industry</w:t>
      </w:r>
      <w:r w:rsidRPr="00645509">
        <w:t xml:space="preserve">. However, when discussing working conditions, we consider </w:t>
      </w:r>
      <w:r w:rsidR="00EC3B9E" w:rsidRPr="00645509">
        <w:t xml:space="preserve">it </w:t>
      </w:r>
      <w:r w:rsidRPr="00645509">
        <w:t xml:space="preserve">important to separate salaried </w:t>
      </w:r>
      <w:r w:rsidR="00EC3B9E" w:rsidRPr="00645509">
        <w:t xml:space="preserve">and freelance </w:t>
      </w:r>
      <w:r w:rsidRPr="00645509">
        <w:t xml:space="preserve">developers from those who have not worked yet or hold a management job. </w:t>
      </w:r>
    </w:p>
    <w:p w:rsidR="00ED0E89" w:rsidRDefault="00E95D56" w:rsidP="006E1C92">
      <w:pPr>
        <w:pStyle w:val="p"/>
      </w:pPr>
      <w:r w:rsidRPr="00645509">
        <w:t>Specifically, t</w:t>
      </w:r>
      <w:r w:rsidR="00ED0E89" w:rsidRPr="00645509">
        <w:t xml:space="preserve">he </w:t>
      </w:r>
      <w:r w:rsidR="004B7AB2" w:rsidRPr="00645509">
        <w:t>2014 sub-sample used here (n=795</w:t>
      </w:r>
      <w:r w:rsidR="00ED0E89" w:rsidRPr="00645509">
        <w:t>) includes those who are firstly developers and those who also engage in QA/testing, support roles, academic or journalist roles, but who DO NOT have managerial roles in any capacity. This sample can be compared with the 2009 sub-sample used here (</w:t>
      </w:r>
      <w:r w:rsidR="004B7AB2" w:rsidRPr="00645509">
        <w:t>n=1145</w:t>
      </w:r>
      <w:r w:rsidR="00ED0E89" w:rsidRPr="00645509">
        <w:t>) which includes respondents if they listed a core development role as their primary discipline and excludes any respondent listin</w:t>
      </w:r>
      <w:r w:rsidR="006E1C92" w:rsidRPr="00645509">
        <w:t xml:space="preserve">g a team lead or manager role. </w:t>
      </w:r>
      <w:r w:rsidRPr="00645509">
        <w:t>As the 2004</w:t>
      </w:r>
      <w:r w:rsidR="00ED0E89" w:rsidRPr="00645509">
        <w:t xml:space="preserve"> survey did not distinguish</w:t>
      </w:r>
      <w:r w:rsidRPr="00645509">
        <w:t xml:space="preserve"> respondents by job role/discipline</w:t>
      </w:r>
      <w:r w:rsidR="00ED0E89" w:rsidRPr="00645509">
        <w:t>, we will use all data.</w:t>
      </w:r>
      <w:r w:rsidR="00ED0E89" w:rsidRPr="00ED0E89">
        <w:t xml:space="preserve"> </w:t>
      </w:r>
    </w:p>
    <w:p w:rsidR="00A04FCB" w:rsidRPr="0076418E" w:rsidRDefault="00A04FCB" w:rsidP="00A04FCB">
      <w:pPr>
        <w:pStyle w:val="Heading2"/>
        <w:rPr>
          <w:lang w:val="en-CA"/>
        </w:rPr>
      </w:pPr>
      <w:bookmarkStart w:id="8" w:name="_Toc455661445"/>
      <w:bookmarkStart w:id="9" w:name="_Toc458522650"/>
      <w:r w:rsidRPr="0076418E">
        <w:rPr>
          <w:lang w:val="en-CA"/>
        </w:rPr>
        <w:t>Qualitative data</w:t>
      </w:r>
      <w:bookmarkEnd w:id="8"/>
      <w:bookmarkEnd w:id="9"/>
    </w:p>
    <w:p w:rsidR="00A04FCB" w:rsidRPr="00A04FCB" w:rsidRDefault="00A04FCB" w:rsidP="00A04FCB">
      <w:pPr>
        <w:pStyle w:val="p"/>
      </w:pPr>
      <w:r w:rsidRPr="0076418E">
        <w:t>The second data set consists of two series of interviews among Canadian VDGs.</w:t>
      </w:r>
    </w:p>
    <w:p w:rsidR="00A04FCB" w:rsidRPr="00A04FCB" w:rsidRDefault="00A04FCB" w:rsidP="00A04FCB">
      <w:pPr>
        <w:pStyle w:val="p0"/>
      </w:pPr>
      <w:r w:rsidRPr="001542F2">
        <w:t>Running parallel to these two latest surveys, we conducted in-depth interviews to learn more about what figures do not tell: the detailed intimate experience of developers, starting with Canadian ones:</w:t>
      </w:r>
    </w:p>
    <w:p w:rsidR="00A04FCB" w:rsidRPr="001542F2" w:rsidRDefault="00A04FCB" w:rsidP="00A04FCB">
      <w:pPr>
        <w:pStyle w:val="e1"/>
      </w:pPr>
      <w:r w:rsidRPr="0076418E">
        <w:t>-</w:t>
      </w:r>
      <w:r w:rsidRPr="001542F2">
        <w:tab/>
      </w:r>
      <w:proofErr w:type="gramStart"/>
      <w:r w:rsidRPr="001542F2">
        <w:t>in</w:t>
      </w:r>
      <w:proofErr w:type="gramEnd"/>
      <w:r w:rsidRPr="001542F2">
        <w:t xml:space="preserve"> 2008, we interviewed 53 developers in Montreal;</w:t>
      </w:r>
    </w:p>
    <w:p w:rsidR="00A04FCB" w:rsidRPr="0076418E" w:rsidRDefault="00A04FCB" w:rsidP="00A04FCB">
      <w:pPr>
        <w:pStyle w:val="e1"/>
      </w:pPr>
      <w:r w:rsidRPr="0076418E">
        <w:t>-</w:t>
      </w:r>
      <w:r w:rsidRPr="0076418E">
        <w:tab/>
      </w:r>
      <w:proofErr w:type="gramStart"/>
      <w:r w:rsidRPr="0076418E">
        <w:t>in</w:t>
      </w:r>
      <w:proofErr w:type="gramEnd"/>
      <w:r w:rsidRPr="0076418E">
        <w:t xml:space="preserve"> 2013-14, we interviewed 93 Canadian developers in three important video game hubs:</w:t>
      </w:r>
    </w:p>
    <w:p w:rsidR="00A04FCB" w:rsidRPr="0076418E" w:rsidRDefault="00A04FCB" w:rsidP="00A04FCB">
      <w:pPr>
        <w:pStyle w:val="e2"/>
      </w:pPr>
      <w:r w:rsidRPr="0076418E">
        <w:t>-</w:t>
      </w:r>
      <w:r w:rsidRPr="0076418E">
        <w:tab/>
        <w:t>34 in Vancouver, British Columbia;</w:t>
      </w:r>
    </w:p>
    <w:p w:rsidR="00A04FCB" w:rsidRPr="0076418E" w:rsidRDefault="00A04FCB" w:rsidP="00A04FCB">
      <w:pPr>
        <w:pStyle w:val="e2"/>
      </w:pPr>
      <w:r w:rsidRPr="0076418E">
        <w:t>-</w:t>
      </w:r>
      <w:r w:rsidRPr="0076418E">
        <w:tab/>
        <w:t xml:space="preserve">32 in Toronto, Ontario; </w:t>
      </w:r>
    </w:p>
    <w:p w:rsidR="00A04FCB" w:rsidRPr="00CA4FA4" w:rsidRDefault="00A04FCB" w:rsidP="00A04FCB">
      <w:pPr>
        <w:pStyle w:val="e20"/>
      </w:pPr>
      <w:r w:rsidRPr="0076418E">
        <w:t>-</w:t>
      </w:r>
      <w:r w:rsidRPr="0076418E">
        <w:tab/>
        <w:t>27 in Montreal, Quebec (see Table 1 for the distribution of studios among provinces in 2013).</w:t>
      </w:r>
    </w:p>
    <w:p w:rsidR="00A04FCB" w:rsidRPr="004433BD" w:rsidRDefault="00A04FCB" w:rsidP="00A04FCB">
      <w:pPr>
        <w:pStyle w:val="Heading5"/>
        <w:rPr>
          <w:lang w:val="en-CA"/>
        </w:rPr>
      </w:pPr>
      <w:r w:rsidRPr="004433BD">
        <w:rPr>
          <w:lang w:val="en-CA"/>
        </w:rPr>
        <w:t>Table 1</w:t>
      </w:r>
    </w:p>
    <w:p w:rsidR="00A04FCB" w:rsidRPr="004433BD" w:rsidRDefault="00A04FCB" w:rsidP="00A04FCB">
      <w:pPr>
        <w:pStyle w:val="Heading5"/>
        <w:rPr>
          <w:lang w:val="en-CA"/>
        </w:rPr>
      </w:pPr>
      <w:r w:rsidRPr="004433BD">
        <w:rPr>
          <w:lang w:val="en-CA"/>
        </w:rPr>
        <w:t>Distribution of Canadian studios among provinces in 2013</w:t>
      </w:r>
    </w:p>
    <w:tbl>
      <w:tblPr>
        <w:tblW w:w="6379" w:type="dxa"/>
        <w:tblInd w:w="124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000" w:firstRow="0" w:lastRow="0" w:firstColumn="0" w:lastColumn="0" w:noHBand="0" w:noVBand="0"/>
      </w:tblPr>
      <w:tblGrid>
        <w:gridCol w:w="1701"/>
        <w:gridCol w:w="1560"/>
        <w:gridCol w:w="1417"/>
        <w:gridCol w:w="1701"/>
      </w:tblGrid>
      <w:tr w:rsidR="00A04FCB" w:rsidRPr="004433BD" w:rsidTr="004433BD">
        <w:trPr>
          <w:trHeight w:val="188"/>
        </w:trPr>
        <w:tc>
          <w:tcPr>
            <w:tcW w:w="1701" w:type="dxa"/>
            <w:shd w:val="clear" w:color="auto" w:fill="D9D9D9"/>
          </w:tcPr>
          <w:p w:rsidR="00A04FCB" w:rsidRPr="004433BD" w:rsidRDefault="00A04FCB" w:rsidP="004433BD">
            <w:pPr>
              <w:pStyle w:val="chiffres"/>
              <w:rPr>
                <w:lang w:val="en-CA" w:eastAsia="en-US"/>
              </w:rPr>
            </w:pPr>
            <w:r w:rsidRPr="004433BD">
              <w:rPr>
                <w:lang w:val="en-CA" w:eastAsia="en-US"/>
              </w:rPr>
              <w:t>Province</w:t>
            </w:r>
          </w:p>
        </w:tc>
        <w:tc>
          <w:tcPr>
            <w:tcW w:w="1560" w:type="dxa"/>
            <w:shd w:val="clear" w:color="auto" w:fill="D9D9D9"/>
          </w:tcPr>
          <w:p w:rsidR="00A04FCB" w:rsidRPr="004433BD" w:rsidRDefault="00A04FCB" w:rsidP="004433BD">
            <w:pPr>
              <w:pStyle w:val="chiffres"/>
              <w:rPr>
                <w:lang w:val="en-CA" w:eastAsia="en-US"/>
              </w:rPr>
            </w:pPr>
            <w:r w:rsidRPr="004433BD">
              <w:rPr>
                <w:lang w:val="en-CA" w:eastAsia="en-US"/>
              </w:rPr>
              <w:t>Studios (n)</w:t>
            </w:r>
          </w:p>
        </w:tc>
        <w:tc>
          <w:tcPr>
            <w:tcW w:w="1417" w:type="dxa"/>
            <w:shd w:val="clear" w:color="auto" w:fill="D9D9D9"/>
          </w:tcPr>
          <w:p w:rsidR="00A04FCB" w:rsidRPr="004433BD" w:rsidRDefault="00A04FCB" w:rsidP="004433BD">
            <w:pPr>
              <w:pStyle w:val="chiffres"/>
              <w:rPr>
                <w:lang w:val="en-CA" w:eastAsia="en-US"/>
              </w:rPr>
            </w:pPr>
            <w:r w:rsidRPr="004433BD">
              <w:rPr>
                <w:lang w:val="en-CA" w:eastAsia="en-US"/>
              </w:rPr>
              <w:t>Studios (%)</w:t>
            </w:r>
          </w:p>
        </w:tc>
        <w:tc>
          <w:tcPr>
            <w:tcW w:w="1701" w:type="dxa"/>
            <w:shd w:val="clear" w:color="auto" w:fill="D9D9D9"/>
          </w:tcPr>
          <w:p w:rsidR="00A04FCB" w:rsidRPr="004433BD" w:rsidRDefault="00A04FCB" w:rsidP="004433BD">
            <w:pPr>
              <w:pStyle w:val="chiffres"/>
              <w:rPr>
                <w:lang w:val="en-CA" w:eastAsia="en-US"/>
              </w:rPr>
            </w:pPr>
            <w:r w:rsidRPr="004433BD">
              <w:rPr>
                <w:lang w:val="en-CA" w:eastAsia="en-US"/>
              </w:rPr>
              <w:t>Employment (%)</w:t>
            </w:r>
          </w:p>
        </w:tc>
      </w:tr>
      <w:tr w:rsidR="00A04FCB" w:rsidRPr="004433BD" w:rsidTr="004433BD">
        <w:trPr>
          <w:trHeight w:val="108"/>
        </w:trPr>
        <w:tc>
          <w:tcPr>
            <w:tcW w:w="1701" w:type="dxa"/>
            <w:shd w:val="clear" w:color="auto" w:fill="D9D9D9"/>
          </w:tcPr>
          <w:p w:rsidR="00A04FCB" w:rsidRPr="004433BD" w:rsidRDefault="00A04FCB" w:rsidP="004433BD">
            <w:pPr>
              <w:pStyle w:val="chiffres2"/>
              <w:rPr>
                <w:lang w:val="en-CA" w:eastAsia="en-US"/>
              </w:rPr>
            </w:pPr>
            <w:r w:rsidRPr="004433BD">
              <w:rPr>
                <w:lang w:val="en-CA" w:eastAsia="en-US"/>
              </w:rPr>
              <w:t xml:space="preserve">Quebec </w:t>
            </w:r>
          </w:p>
        </w:tc>
        <w:tc>
          <w:tcPr>
            <w:tcW w:w="1560" w:type="dxa"/>
            <w:shd w:val="clear" w:color="auto" w:fill="D9D9D9"/>
          </w:tcPr>
          <w:p w:rsidR="00A04FCB" w:rsidRPr="004433BD" w:rsidRDefault="00A04FCB" w:rsidP="004433BD">
            <w:pPr>
              <w:pStyle w:val="chiffres2"/>
              <w:rPr>
                <w:lang w:val="en-CA" w:eastAsia="en-US"/>
              </w:rPr>
            </w:pPr>
            <w:r w:rsidRPr="004433BD">
              <w:rPr>
                <w:lang w:val="en-CA" w:eastAsia="en-US"/>
              </w:rPr>
              <w:t xml:space="preserve">97 </w:t>
            </w:r>
          </w:p>
        </w:tc>
        <w:tc>
          <w:tcPr>
            <w:tcW w:w="1417" w:type="dxa"/>
            <w:shd w:val="clear" w:color="auto" w:fill="D9D9D9"/>
          </w:tcPr>
          <w:p w:rsidR="00A04FCB" w:rsidRPr="004433BD" w:rsidRDefault="00A04FCB" w:rsidP="004433BD">
            <w:pPr>
              <w:pStyle w:val="chiffres2"/>
              <w:rPr>
                <w:lang w:val="en-CA" w:eastAsia="en-US"/>
              </w:rPr>
            </w:pPr>
            <w:r w:rsidRPr="004433BD">
              <w:rPr>
                <w:lang w:val="en-CA" w:eastAsia="en-US"/>
              </w:rPr>
              <w:t>29.5</w:t>
            </w:r>
          </w:p>
        </w:tc>
        <w:tc>
          <w:tcPr>
            <w:tcW w:w="1701" w:type="dxa"/>
            <w:shd w:val="clear" w:color="auto" w:fill="D9D9D9"/>
          </w:tcPr>
          <w:p w:rsidR="00A04FCB" w:rsidRPr="004433BD" w:rsidRDefault="00A04FCB" w:rsidP="004433BD">
            <w:pPr>
              <w:pStyle w:val="chiffres2"/>
              <w:rPr>
                <w:lang w:val="en-CA" w:eastAsia="en-US"/>
              </w:rPr>
            </w:pPr>
            <w:r w:rsidRPr="004433BD">
              <w:rPr>
                <w:lang w:val="en-CA" w:eastAsia="en-US"/>
              </w:rPr>
              <w:t>53</w:t>
            </w:r>
          </w:p>
        </w:tc>
      </w:tr>
      <w:tr w:rsidR="00A04FCB" w:rsidRPr="004433BD" w:rsidTr="004433BD">
        <w:trPr>
          <w:trHeight w:val="172"/>
        </w:trPr>
        <w:tc>
          <w:tcPr>
            <w:tcW w:w="1701" w:type="dxa"/>
            <w:shd w:val="clear" w:color="auto" w:fill="D9D9D9"/>
          </w:tcPr>
          <w:p w:rsidR="00A04FCB" w:rsidRPr="004433BD" w:rsidRDefault="00A04FCB" w:rsidP="004433BD">
            <w:pPr>
              <w:pStyle w:val="chiffres2"/>
              <w:rPr>
                <w:lang w:val="en-CA" w:eastAsia="en-US"/>
              </w:rPr>
            </w:pPr>
            <w:r w:rsidRPr="004433BD">
              <w:rPr>
                <w:lang w:val="en-CA" w:eastAsia="en-US"/>
              </w:rPr>
              <w:t xml:space="preserve">Ontario </w:t>
            </w:r>
          </w:p>
        </w:tc>
        <w:tc>
          <w:tcPr>
            <w:tcW w:w="1560" w:type="dxa"/>
            <w:shd w:val="clear" w:color="auto" w:fill="D9D9D9"/>
          </w:tcPr>
          <w:p w:rsidR="00A04FCB" w:rsidRPr="004433BD" w:rsidRDefault="00A04FCB" w:rsidP="004433BD">
            <w:pPr>
              <w:pStyle w:val="chiffres2"/>
              <w:rPr>
                <w:lang w:val="en-CA" w:eastAsia="en-US"/>
              </w:rPr>
            </w:pPr>
            <w:r w:rsidRPr="004433BD">
              <w:rPr>
                <w:lang w:val="en-CA" w:eastAsia="en-US"/>
              </w:rPr>
              <w:t xml:space="preserve">96 </w:t>
            </w:r>
          </w:p>
        </w:tc>
        <w:tc>
          <w:tcPr>
            <w:tcW w:w="1417" w:type="dxa"/>
            <w:shd w:val="clear" w:color="auto" w:fill="D9D9D9"/>
          </w:tcPr>
          <w:p w:rsidR="00A04FCB" w:rsidRPr="004433BD" w:rsidRDefault="00A04FCB" w:rsidP="004433BD">
            <w:pPr>
              <w:pStyle w:val="chiffres2"/>
              <w:rPr>
                <w:lang w:val="en-CA" w:eastAsia="en-US"/>
              </w:rPr>
            </w:pPr>
            <w:r w:rsidRPr="004433BD">
              <w:rPr>
                <w:lang w:val="en-CA" w:eastAsia="en-US"/>
              </w:rPr>
              <w:t>29.1</w:t>
            </w:r>
          </w:p>
        </w:tc>
        <w:tc>
          <w:tcPr>
            <w:tcW w:w="1701" w:type="dxa"/>
            <w:shd w:val="clear" w:color="auto" w:fill="D9D9D9"/>
          </w:tcPr>
          <w:p w:rsidR="00A04FCB" w:rsidRPr="004433BD" w:rsidRDefault="00A04FCB" w:rsidP="004433BD">
            <w:pPr>
              <w:pStyle w:val="chiffres2"/>
              <w:rPr>
                <w:lang w:val="en-CA" w:eastAsia="en-US"/>
              </w:rPr>
            </w:pPr>
            <w:r w:rsidRPr="004433BD">
              <w:rPr>
                <w:lang w:val="en-CA" w:eastAsia="en-US"/>
              </w:rPr>
              <w:t>11.2</w:t>
            </w:r>
          </w:p>
        </w:tc>
      </w:tr>
      <w:tr w:rsidR="00A04FCB" w:rsidRPr="004433BD" w:rsidTr="004433BD">
        <w:trPr>
          <w:trHeight w:val="108"/>
        </w:trPr>
        <w:tc>
          <w:tcPr>
            <w:tcW w:w="1701" w:type="dxa"/>
            <w:shd w:val="clear" w:color="auto" w:fill="D9D9D9"/>
          </w:tcPr>
          <w:p w:rsidR="00A04FCB" w:rsidRPr="004433BD" w:rsidRDefault="00A04FCB" w:rsidP="004433BD">
            <w:pPr>
              <w:pStyle w:val="chiffres2"/>
              <w:rPr>
                <w:lang w:val="en-CA" w:eastAsia="en-US"/>
              </w:rPr>
            </w:pPr>
            <w:r w:rsidRPr="004433BD">
              <w:rPr>
                <w:lang w:val="en-CA" w:eastAsia="en-US"/>
              </w:rPr>
              <w:t xml:space="preserve">British Columbia </w:t>
            </w:r>
          </w:p>
        </w:tc>
        <w:tc>
          <w:tcPr>
            <w:tcW w:w="1560" w:type="dxa"/>
            <w:shd w:val="clear" w:color="auto" w:fill="D9D9D9"/>
          </w:tcPr>
          <w:p w:rsidR="00A04FCB" w:rsidRPr="004433BD" w:rsidRDefault="00A04FCB" w:rsidP="004433BD">
            <w:pPr>
              <w:pStyle w:val="chiffres2"/>
              <w:rPr>
                <w:lang w:val="en-CA" w:eastAsia="en-US"/>
              </w:rPr>
            </w:pPr>
            <w:r w:rsidRPr="004433BD">
              <w:rPr>
                <w:lang w:val="en-CA" w:eastAsia="en-US"/>
              </w:rPr>
              <w:t xml:space="preserve">67 </w:t>
            </w:r>
          </w:p>
        </w:tc>
        <w:tc>
          <w:tcPr>
            <w:tcW w:w="1417" w:type="dxa"/>
            <w:shd w:val="clear" w:color="auto" w:fill="D9D9D9"/>
          </w:tcPr>
          <w:p w:rsidR="00A04FCB" w:rsidRPr="004433BD" w:rsidRDefault="00A04FCB" w:rsidP="004433BD">
            <w:pPr>
              <w:pStyle w:val="chiffres2"/>
              <w:rPr>
                <w:lang w:val="en-CA" w:eastAsia="en-US"/>
              </w:rPr>
            </w:pPr>
            <w:r w:rsidRPr="004433BD">
              <w:rPr>
                <w:lang w:val="en-CA" w:eastAsia="en-US"/>
              </w:rPr>
              <w:t>20.4</w:t>
            </w:r>
          </w:p>
        </w:tc>
        <w:tc>
          <w:tcPr>
            <w:tcW w:w="1701" w:type="dxa"/>
            <w:shd w:val="clear" w:color="auto" w:fill="D9D9D9"/>
          </w:tcPr>
          <w:p w:rsidR="00A04FCB" w:rsidRPr="004433BD" w:rsidRDefault="00A04FCB" w:rsidP="004433BD">
            <w:pPr>
              <w:pStyle w:val="chiffres2"/>
              <w:rPr>
                <w:lang w:val="en-CA" w:eastAsia="en-US"/>
              </w:rPr>
            </w:pPr>
            <w:r w:rsidRPr="004433BD">
              <w:rPr>
                <w:lang w:val="en-CA" w:eastAsia="en-US"/>
              </w:rPr>
              <w:t>31.2</w:t>
            </w:r>
          </w:p>
        </w:tc>
      </w:tr>
      <w:tr w:rsidR="00A04FCB" w:rsidRPr="004433BD" w:rsidTr="004433BD">
        <w:trPr>
          <w:trHeight w:val="174"/>
        </w:trPr>
        <w:tc>
          <w:tcPr>
            <w:tcW w:w="1701" w:type="dxa"/>
            <w:shd w:val="clear" w:color="auto" w:fill="D9D9D9"/>
          </w:tcPr>
          <w:p w:rsidR="00A04FCB" w:rsidRPr="004433BD" w:rsidRDefault="00A04FCB" w:rsidP="004433BD">
            <w:pPr>
              <w:pStyle w:val="chiffres2"/>
              <w:rPr>
                <w:lang w:val="en-CA" w:eastAsia="en-US"/>
              </w:rPr>
            </w:pPr>
            <w:r w:rsidRPr="004433BD">
              <w:rPr>
                <w:lang w:val="en-CA" w:eastAsia="en-US"/>
              </w:rPr>
              <w:t xml:space="preserve">Alberta </w:t>
            </w:r>
          </w:p>
        </w:tc>
        <w:tc>
          <w:tcPr>
            <w:tcW w:w="1560" w:type="dxa"/>
            <w:shd w:val="clear" w:color="auto" w:fill="D9D9D9"/>
          </w:tcPr>
          <w:p w:rsidR="00A04FCB" w:rsidRPr="004433BD" w:rsidRDefault="00A04FCB" w:rsidP="004433BD">
            <w:pPr>
              <w:pStyle w:val="chiffres2"/>
              <w:rPr>
                <w:lang w:val="en-CA" w:eastAsia="en-US"/>
              </w:rPr>
            </w:pPr>
            <w:r w:rsidRPr="004433BD">
              <w:rPr>
                <w:lang w:val="en-CA" w:eastAsia="en-US"/>
              </w:rPr>
              <w:t xml:space="preserve">20 </w:t>
            </w:r>
          </w:p>
        </w:tc>
        <w:tc>
          <w:tcPr>
            <w:tcW w:w="1417" w:type="dxa"/>
            <w:shd w:val="clear" w:color="auto" w:fill="D9D9D9"/>
          </w:tcPr>
          <w:p w:rsidR="00A04FCB" w:rsidRPr="004433BD" w:rsidRDefault="00A04FCB" w:rsidP="004433BD">
            <w:pPr>
              <w:pStyle w:val="chiffres2"/>
              <w:rPr>
                <w:lang w:val="en-CA" w:eastAsia="en-US"/>
              </w:rPr>
            </w:pPr>
            <w:r w:rsidRPr="004433BD">
              <w:rPr>
                <w:lang w:val="en-CA" w:eastAsia="en-US"/>
              </w:rPr>
              <w:t>6</w:t>
            </w:r>
          </w:p>
        </w:tc>
        <w:tc>
          <w:tcPr>
            <w:tcW w:w="1701" w:type="dxa"/>
            <w:vMerge w:val="restart"/>
            <w:shd w:val="clear" w:color="auto" w:fill="D9D9D9"/>
          </w:tcPr>
          <w:p w:rsidR="00A04FCB" w:rsidRPr="004433BD" w:rsidRDefault="00A04FCB" w:rsidP="004433BD">
            <w:pPr>
              <w:pStyle w:val="chiffres2"/>
              <w:rPr>
                <w:lang w:val="en-CA" w:eastAsia="en-US"/>
              </w:rPr>
            </w:pPr>
            <w:r w:rsidRPr="004433BD">
              <w:rPr>
                <w:lang w:val="en-CA" w:eastAsia="en-US"/>
              </w:rPr>
              <w:t>4.5</w:t>
            </w:r>
          </w:p>
        </w:tc>
      </w:tr>
      <w:tr w:rsidR="00A04FCB" w:rsidRPr="004433BD" w:rsidTr="004433BD">
        <w:trPr>
          <w:trHeight w:val="108"/>
        </w:trPr>
        <w:tc>
          <w:tcPr>
            <w:tcW w:w="1701" w:type="dxa"/>
            <w:shd w:val="clear" w:color="auto" w:fill="D9D9D9"/>
          </w:tcPr>
          <w:p w:rsidR="00A04FCB" w:rsidRPr="004433BD" w:rsidRDefault="00A04FCB" w:rsidP="004433BD">
            <w:pPr>
              <w:pStyle w:val="chiffres2"/>
              <w:rPr>
                <w:lang w:val="en-CA" w:eastAsia="en-US"/>
              </w:rPr>
            </w:pPr>
            <w:r w:rsidRPr="004433BD">
              <w:rPr>
                <w:lang w:val="en-CA" w:eastAsia="en-US"/>
              </w:rPr>
              <w:t xml:space="preserve">Manitoba </w:t>
            </w:r>
          </w:p>
        </w:tc>
        <w:tc>
          <w:tcPr>
            <w:tcW w:w="1560" w:type="dxa"/>
            <w:shd w:val="clear" w:color="auto" w:fill="D9D9D9"/>
          </w:tcPr>
          <w:p w:rsidR="00A04FCB" w:rsidRPr="004433BD" w:rsidRDefault="00A04FCB" w:rsidP="004433BD">
            <w:pPr>
              <w:pStyle w:val="chiffres2"/>
              <w:rPr>
                <w:lang w:val="en-CA" w:eastAsia="en-US"/>
              </w:rPr>
            </w:pPr>
            <w:r w:rsidRPr="004433BD">
              <w:rPr>
                <w:lang w:val="en-CA" w:eastAsia="en-US"/>
              </w:rPr>
              <w:t xml:space="preserve">20 </w:t>
            </w:r>
          </w:p>
        </w:tc>
        <w:tc>
          <w:tcPr>
            <w:tcW w:w="1417" w:type="dxa"/>
            <w:shd w:val="clear" w:color="auto" w:fill="D9D9D9"/>
          </w:tcPr>
          <w:p w:rsidR="00A04FCB" w:rsidRPr="004433BD" w:rsidRDefault="00A04FCB" w:rsidP="004433BD">
            <w:pPr>
              <w:pStyle w:val="chiffres2"/>
              <w:rPr>
                <w:lang w:val="en-CA" w:eastAsia="en-US"/>
              </w:rPr>
            </w:pPr>
            <w:r w:rsidRPr="004433BD">
              <w:rPr>
                <w:lang w:val="en-CA" w:eastAsia="en-US"/>
              </w:rPr>
              <w:t>6</w:t>
            </w:r>
          </w:p>
        </w:tc>
        <w:tc>
          <w:tcPr>
            <w:tcW w:w="1701" w:type="dxa"/>
            <w:vMerge/>
            <w:shd w:val="clear" w:color="auto" w:fill="D9D9D9"/>
          </w:tcPr>
          <w:p w:rsidR="00A04FCB" w:rsidRPr="004433BD" w:rsidRDefault="00A04FCB" w:rsidP="004433BD">
            <w:pPr>
              <w:pStyle w:val="chiffres2"/>
              <w:rPr>
                <w:lang w:val="en-CA" w:eastAsia="en-US"/>
              </w:rPr>
            </w:pPr>
          </w:p>
        </w:tc>
      </w:tr>
      <w:tr w:rsidR="00A04FCB" w:rsidRPr="004433BD" w:rsidTr="004433BD">
        <w:trPr>
          <w:trHeight w:val="172"/>
        </w:trPr>
        <w:tc>
          <w:tcPr>
            <w:tcW w:w="1701" w:type="dxa"/>
            <w:shd w:val="clear" w:color="auto" w:fill="D9D9D9"/>
          </w:tcPr>
          <w:p w:rsidR="00A04FCB" w:rsidRPr="004433BD" w:rsidRDefault="00A04FCB" w:rsidP="004433BD">
            <w:pPr>
              <w:pStyle w:val="chiffres2"/>
              <w:rPr>
                <w:lang w:val="en-CA" w:eastAsia="en-US"/>
              </w:rPr>
            </w:pPr>
            <w:r w:rsidRPr="004433BD">
              <w:rPr>
                <w:lang w:val="en-CA" w:eastAsia="en-US"/>
              </w:rPr>
              <w:t xml:space="preserve">Nova Scotia </w:t>
            </w:r>
          </w:p>
        </w:tc>
        <w:tc>
          <w:tcPr>
            <w:tcW w:w="1560" w:type="dxa"/>
            <w:shd w:val="clear" w:color="auto" w:fill="D9D9D9"/>
          </w:tcPr>
          <w:p w:rsidR="00A04FCB" w:rsidRPr="004433BD" w:rsidRDefault="00A04FCB" w:rsidP="004433BD">
            <w:pPr>
              <w:pStyle w:val="chiffres2"/>
              <w:rPr>
                <w:lang w:val="en-CA" w:eastAsia="en-US"/>
              </w:rPr>
            </w:pPr>
            <w:r w:rsidRPr="004433BD">
              <w:rPr>
                <w:lang w:val="en-CA" w:eastAsia="en-US"/>
              </w:rPr>
              <w:t xml:space="preserve">18 </w:t>
            </w:r>
          </w:p>
        </w:tc>
        <w:tc>
          <w:tcPr>
            <w:tcW w:w="1417" w:type="dxa"/>
            <w:shd w:val="clear" w:color="auto" w:fill="D9D9D9"/>
          </w:tcPr>
          <w:p w:rsidR="00A04FCB" w:rsidRPr="004433BD" w:rsidRDefault="00A04FCB" w:rsidP="004433BD">
            <w:pPr>
              <w:pStyle w:val="chiffres2"/>
              <w:rPr>
                <w:lang w:val="en-CA" w:eastAsia="en-US"/>
              </w:rPr>
            </w:pPr>
            <w:r w:rsidRPr="004433BD">
              <w:rPr>
                <w:lang w:val="en-CA" w:eastAsia="en-US"/>
              </w:rPr>
              <w:t>5.5</w:t>
            </w:r>
          </w:p>
        </w:tc>
        <w:tc>
          <w:tcPr>
            <w:tcW w:w="1701" w:type="dxa"/>
            <w:vMerge/>
            <w:shd w:val="clear" w:color="auto" w:fill="D9D9D9"/>
          </w:tcPr>
          <w:p w:rsidR="00A04FCB" w:rsidRPr="004433BD" w:rsidRDefault="00A04FCB" w:rsidP="004433BD">
            <w:pPr>
              <w:pStyle w:val="chiffres2"/>
              <w:rPr>
                <w:lang w:val="en-CA" w:eastAsia="en-US"/>
              </w:rPr>
            </w:pPr>
          </w:p>
        </w:tc>
      </w:tr>
      <w:tr w:rsidR="00A04FCB" w:rsidRPr="004433BD" w:rsidTr="004433BD">
        <w:trPr>
          <w:trHeight w:val="108"/>
        </w:trPr>
        <w:tc>
          <w:tcPr>
            <w:tcW w:w="1701" w:type="dxa"/>
            <w:shd w:val="clear" w:color="auto" w:fill="D9D9D9"/>
          </w:tcPr>
          <w:p w:rsidR="00A04FCB" w:rsidRPr="004433BD" w:rsidRDefault="00A04FCB" w:rsidP="004433BD">
            <w:pPr>
              <w:pStyle w:val="chiffres2"/>
              <w:rPr>
                <w:lang w:val="en-CA" w:eastAsia="en-US"/>
              </w:rPr>
            </w:pPr>
            <w:r w:rsidRPr="004433BD">
              <w:rPr>
                <w:lang w:val="en-CA" w:eastAsia="en-US"/>
              </w:rPr>
              <w:t xml:space="preserve">PEI </w:t>
            </w:r>
          </w:p>
        </w:tc>
        <w:tc>
          <w:tcPr>
            <w:tcW w:w="1560" w:type="dxa"/>
            <w:shd w:val="clear" w:color="auto" w:fill="D9D9D9"/>
          </w:tcPr>
          <w:p w:rsidR="00A04FCB" w:rsidRPr="004433BD" w:rsidRDefault="00A04FCB" w:rsidP="004433BD">
            <w:pPr>
              <w:pStyle w:val="chiffres2"/>
              <w:rPr>
                <w:lang w:val="en-CA" w:eastAsia="en-US"/>
              </w:rPr>
            </w:pPr>
            <w:r w:rsidRPr="004433BD">
              <w:rPr>
                <w:lang w:val="en-CA" w:eastAsia="en-US"/>
              </w:rPr>
              <w:t xml:space="preserve">5 </w:t>
            </w:r>
          </w:p>
        </w:tc>
        <w:tc>
          <w:tcPr>
            <w:tcW w:w="1417" w:type="dxa"/>
            <w:vMerge w:val="restart"/>
            <w:shd w:val="clear" w:color="auto" w:fill="D9D9D9"/>
          </w:tcPr>
          <w:p w:rsidR="00A04FCB" w:rsidRPr="004433BD" w:rsidRDefault="00A04FCB" w:rsidP="004433BD">
            <w:pPr>
              <w:pStyle w:val="chiffres2"/>
              <w:rPr>
                <w:lang w:val="en-CA" w:eastAsia="en-US"/>
              </w:rPr>
            </w:pPr>
            <w:r w:rsidRPr="004433BD">
              <w:rPr>
                <w:lang w:val="en-CA" w:eastAsia="en-US"/>
              </w:rPr>
              <w:t>3.3</w:t>
            </w:r>
          </w:p>
        </w:tc>
        <w:tc>
          <w:tcPr>
            <w:tcW w:w="1701" w:type="dxa"/>
            <w:vMerge/>
            <w:shd w:val="clear" w:color="auto" w:fill="D9D9D9"/>
          </w:tcPr>
          <w:p w:rsidR="00A04FCB" w:rsidRPr="004433BD" w:rsidRDefault="00A04FCB" w:rsidP="004433BD">
            <w:pPr>
              <w:pStyle w:val="chiffres2"/>
              <w:rPr>
                <w:lang w:val="en-CA" w:eastAsia="en-US"/>
              </w:rPr>
            </w:pPr>
          </w:p>
        </w:tc>
      </w:tr>
      <w:tr w:rsidR="00A04FCB" w:rsidRPr="003C3D89" w:rsidTr="004433BD">
        <w:trPr>
          <w:trHeight w:val="172"/>
        </w:trPr>
        <w:tc>
          <w:tcPr>
            <w:tcW w:w="1701" w:type="dxa"/>
            <w:shd w:val="clear" w:color="auto" w:fill="D9D9D9"/>
          </w:tcPr>
          <w:p w:rsidR="00A04FCB" w:rsidRPr="00494641" w:rsidRDefault="00A04FCB" w:rsidP="004433BD">
            <w:pPr>
              <w:pStyle w:val="chiffres2"/>
              <w:rPr>
                <w:lang w:eastAsia="en-US"/>
              </w:rPr>
            </w:pPr>
            <w:r w:rsidRPr="00494641">
              <w:rPr>
                <w:lang w:eastAsia="en-US"/>
              </w:rPr>
              <w:lastRenderedPageBreak/>
              <w:t xml:space="preserve">New Brunswick </w:t>
            </w:r>
          </w:p>
        </w:tc>
        <w:tc>
          <w:tcPr>
            <w:tcW w:w="1560" w:type="dxa"/>
            <w:shd w:val="clear" w:color="auto" w:fill="D9D9D9"/>
          </w:tcPr>
          <w:p w:rsidR="00A04FCB" w:rsidRPr="00494641" w:rsidRDefault="00A04FCB" w:rsidP="004433BD">
            <w:pPr>
              <w:pStyle w:val="chiffres2"/>
              <w:rPr>
                <w:lang w:eastAsia="en-US"/>
              </w:rPr>
            </w:pPr>
            <w:r w:rsidRPr="00494641">
              <w:rPr>
                <w:lang w:eastAsia="en-US"/>
              </w:rPr>
              <w:t xml:space="preserve">3 </w:t>
            </w:r>
          </w:p>
        </w:tc>
        <w:tc>
          <w:tcPr>
            <w:tcW w:w="1417" w:type="dxa"/>
            <w:vMerge/>
            <w:shd w:val="clear" w:color="auto" w:fill="D9D9D9"/>
          </w:tcPr>
          <w:p w:rsidR="00A04FCB" w:rsidRPr="00494641" w:rsidRDefault="00A04FCB" w:rsidP="004433BD">
            <w:pPr>
              <w:pStyle w:val="chiffres2"/>
              <w:rPr>
                <w:lang w:eastAsia="en-US"/>
              </w:rPr>
            </w:pPr>
          </w:p>
        </w:tc>
        <w:tc>
          <w:tcPr>
            <w:tcW w:w="1701" w:type="dxa"/>
            <w:vMerge/>
            <w:shd w:val="clear" w:color="auto" w:fill="D9D9D9"/>
          </w:tcPr>
          <w:p w:rsidR="00A04FCB" w:rsidRPr="00494641" w:rsidRDefault="00A04FCB" w:rsidP="004433BD">
            <w:pPr>
              <w:pStyle w:val="chiffres2"/>
              <w:rPr>
                <w:lang w:eastAsia="en-US"/>
              </w:rPr>
            </w:pPr>
          </w:p>
        </w:tc>
      </w:tr>
      <w:tr w:rsidR="00A04FCB" w:rsidRPr="003C3D89" w:rsidTr="004433BD">
        <w:trPr>
          <w:trHeight w:val="108"/>
        </w:trPr>
        <w:tc>
          <w:tcPr>
            <w:tcW w:w="1701" w:type="dxa"/>
            <w:shd w:val="clear" w:color="auto" w:fill="D9D9D9"/>
          </w:tcPr>
          <w:p w:rsidR="00A04FCB" w:rsidRPr="00494641" w:rsidRDefault="00A04FCB" w:rsidP="004433BD">
            <w:pPr>
              <w:pStyle w:val="chiffres2"/>
              <w:rPr>
                <w:lang w:eastAsia="en-US"/>
              </w:rPr>
            </w:pPr>
            <w:r w:rsidRPr="00494641">
              <w:rPr>
                <w:lang w:eastAsia="en-US"/>
              </w:rPr>
              <w:t xml:space="preserve">Newfoundland </w:t>
            </w:r>
          </w:p>
        </w:tc>
        <w:tc>
          <w:tcPr>
            <w:tcW w:w="1560" w:type="dxa"/>
            <w:shd w:val="clear" w:color="auto" w:fill="D9D9D9"/>
          </w:tcPr>
          <w:p w:rsidR="00A04FCB" w:rsidRPr="00494641" w:rsidRDefault="00A04FCB" w:rsidP="004433BD">
            <w:pPr>
              <w:pStyle w:val="chiffres2"/>
              <w:rPr>
                <w:lang w:eastAsia="en-US"/>
              </w:rPr>
            </w:pPr>
            <w:r w:rsidRPr="00494641">
              <w:rPr>
                <w:lang w:eastAsia="en-US"/>
              </w:rPr>
              <w:t xml:space="preserve">2 </w:t>
            </w:r>
          </w:p>
        </w:tc>
        <w:tc>
          <w:tcPr>
            <w:tcW w:w="1417" w:type="dxa"/>
            <w:vMerge/>
            <w:shd w:val="clear" w:color="auto" w:fill="D9D9D9"/>
          </w:tcPr>
          <w:p w:rsidR="00A04FCB" w:rsidRPr="00494641" w:rsidRDefault="00A04FCB" w:rsidP="004433BD">
            <w:pPr>
              <w:pStyle w:val="chiffres2"/>
              <w:rPr>
                <w:lang w:eastAsia="en-US"/>
              </w:rPr>
            </w:pPr>
          </w:p>
        </w:tc>
        <w:tc>
          <w:tcPr>
            <w:tcW w:w="1701" w:type="dxa"/>
            <w:vMerge/>
            <w:shd w:val="clear" w:color="auto" w:fill="D9D9D9"/>
          </w:tcPr>
          <w:p w:rsidR="00A04FCB" w:rsidRPr="00494641" w:rsidRDefault="00A04FCB" w:rsidP="004433BD">
            <w:pPr>
              <w:pStyle w:val="chiffres2"/>
              <w:rPr>
                <w:lang w:eastAsia="en-US"/>
              </w:rPr>
            </w:pPr>
          </w:p>
        </w:tc>
      </w:tr>
      <w:tr w:rsidR="00A04FCB" w:rsidRPr="003C3D89" w:rsidTr="004433BD">
        <w:trPr>
          <w:trHeight w:val="172"/>
        </w:trPr>
        <w:tc>
          <w:tcPr>
            <w:tcW w:w="1701" w:type="dxa"/>
            <w:shd w:val="clear" w:color="auto" w:fill="D9D9D9"/>
          </w:tcPr>
          <w:p w:rsidR="00A04FCB" w:rsidRPr="00494641" w:rsidRDefault="00A04FCB" w:rsidP="004433BD">
            <w:pPr>
              <w:pStyle w:val="chiffres2"/>
              <w:rPr>
                <w:lang w:eastAsia="en-US"/>
              </w:rPr>
            </w:pPr>
            <w:r w:rsidRPr="00494641">
              <w:rPr>
                <w:lang w:eastAsia="en-US"/>
              </w:rPr>
              <w:t xml:space="preserve">Saskatchewan </w:t>
            </w:r>
          </w:p>
        </w:tc>
        <w:tc>
          <w:tcPr>
            <w:tcW w:w="1560" w:type="dxa"/>
            <w:shd w:val="clear" w:color="auto" w:fill="D9D9D9"/>
          </w:tcPr>
          <w:p w:rsidR="00A04FCB" w:rsidRPr="00494641" w:rsidRDefault="00A04FCB" w:rsidP="004433BD">
            <w:pPr>
              <w:pStyle w:val="chiffres2"/>
              <w:rPr>
                <w:lang w:eastAsia="en-US"/>
              </w:rPr>
            </w:pPr>
            <w:r w:rsidRPr="00494641">
              <w:rPr>
                <w:lang w:eastAsia="en-US"/>
              </w:rPr>
              <w:t xml:space="preserve">1 </w:t>
            </w:r>
          </w:p>
        </w:tc>
        <w:tc>
          <w:tcPr>
            <w:tcW w:w="1417" w:type="dxa"/>
            <w:vMerge/>
            <w:shd w:val="clear" w:color="auto" w:fill="D9D9D9"/>
          </w:tcPr>
          <w:p w:rsidR="00A04FCB" w:rsidRPr="00494641" w:rsidRDefault="00A04FCB" w:rsidP="004433BD">
            <w:pPr>
              <w:pStyle w:val="chiffres2"/>
              <w:rPr>
                <w:lang w:eastAsia="en-US"/>
              </w:rPr>
            </w:pPr>
          </w:p>
        </w:tc>
        <w:tc>
          <w:tcPr>
            <w:tcW w:w="1701" w:type="dxa"/>
            <w:vMerge/>
            <w:shd w:val="clear" w:color="auto" w:fill="D9D9D9"/>
          </w:tcPr>
          <w:p w:rsidR="00A04FCB" w:rsidRPr="00494641" w:rsidRDefault="00A04FCB" w:rsidP="004433BD">
            <w:pPr>
              <w:pStyle w:val="chiffres2"/>
              <w:rPr>
                <w:lang w:eastAsia="en-US"/>
              </w:rPr>
            </w:pPr>
          </w:p>
        </w:tc>
      </w:tr>
      <w:tr w:rsidR="00A04FCB" w:rsidRPr="003C3D89" w:rsidTr="004433BD">
        <w:trPr>
          <w:trHeight w:val="111"/>
        </w:trPr>
        <w:tc>
          <w:tcPr>
            <w:tcW w:w="1701" w:type="dxa"/>
            <w:shd w:val="clear" w:color="auto" w:fill="D9D9D9"/>
          </w:tcPr>
          <w:p w:rsidR="00A04FCB" w:rsidRPr="00494641" w:rsidRDefault="00A04FCB" w:rsidP="004433BD">
            <w:pPr>
              <w:pStyle w:val="chiffres2"/>
              <w:rPr>
                <w:lang w:eastAsia="en-US"/>
              </w:rPr>
            </w:pPr>
            <w:r w:rsidRPr="00494641">
              <w:rPr>
                <w:lang w:eastAsia="en-US"/>
              </w:rPr>
              <w:t xml:space="preserve">Total </w:t>
            </w:r>
          </w:p>
        </w:tc>
        <w:tc>
          <w:tcPr>
            <w:tcW w:w="1560" w:type="dxa"/>
            <w:shd w:val="clear" w:color="auto" w:fill="D9D9D9"/>
          </w:tcPr>
          <w:p w:rsidR="00A04FCB" w:rsidRPr="00494641" w:rsidRDefault="00A04FCB" w:rsidP="004433BD">
            <w:pPr>
              <w:pStyle w:val="chiffres2"/>
              <w:rPr>
                <w:lang w:eastAsia="en-US"/>
              </w:rPr>
            </w:pPr>
            <w:r w:rsidRPr="00494641">
              <w:rPr>
                <w:lang w:eastAsia="en-US"/>
              </w:rPr>
              <w:t xml:space="preserve">329 </w:t>
            </w:r>
          </w:p>
        </w:tc>
        <w:tc>
          <w:tcPr>
            <w:tcW w:w="1417" w:type="dxa"/>
            <w:shd w:val="clear" w:color="auto" w:fill="D9D9D9"/>
          </w:tcPr>
          <w:p w:rsidR="00A04FCB" w:rsidRPr="00494641" w:rsidRDefault="00A04FCB" w:rsidP="004433BD">
            <w:pPr>
              <w:pStyle w:val="chiffres2"/>
              <w:rPr>
                <w:lang w:eastAsia="en-US"/>
              </w:rPr>
            </w:pPr>
            <w:r w:rsidRPr="00494641">
              <w:rPr>
                <w:lang w:eastAsia="en-US"/>
              </w:rPr>
              <w:t>100</w:t>
            </w:r>
          </w:p>
        </w:tc>
        <w:tc>
          <w:tcPr>
            <w:tcW w:w="1701" w:type="dxa"/>
            <w:shd w:val="clear" w:color="auto" w:fill="D9D9D9"/>
          </w:tcPr>
          <w:p w:rsidR="00A04FCB" w:rsidRPr="00494641" w:rsidRDefault="00A04FCB" w:rsidP="004433BD">
            <w:pPr>
              <w:pStyle w:val="chiffres2"/>
              <w:rPr>
                <w:lang w:eastAsia="en-US"/>
              </w:rPr>
            </w:pPr>
            <w:r w:rsidRPr="00494641">
              <w:rPr>
                <w:lang w:eastAsia="en-US"/>
              </w:rPr>
              <w:t>100</w:t>
            </w:r>
          </w:p>
        </w:tc>
      </w:tr>
    </w:tbl>
    <w:p w:rsidR="00A04FCB" w:rsidRPr="00CA4FA4" w:rsidRDefault="00A04FCB" w:rsidP="00A04FCB">
      <w:pPr>
        <w:pStyle w:val="source"/>
      </w:pPr>
      <w:r w:rsidRPr="00CA4FA4">
        <w:t xml:space="preserve">Source: </w:t>
      </w:r>
      <w:proofErr w:type="spellStart"/>
      <w:r w:rsidRPr="00CA4FA4">
        <w:t>Nordicity</w:t>
      </w:r>
      <w:proofErr w:type="spellEnd"/>
      <w:r w:rsidRPr="00CA4FA4">
        <w:t>, 2013, p. 23 &amp; 30.</w:t>
      </w:r>
    </w:p>
    <w:p w:rsidR="00A04FCB" w:rsidRPr="0076418E" w:rsidRDefault="00A04FCB" w:rsidP="00A04FCB">
      <w:pPr>
        <w:pStyle w:val="p"/>
      </w:pPr>
      <w:r w:rsidRPr="0076418E">
        <w:t>Readers will find accounts of interviews done in 2008 as cited published articles analysing the videogame development workplace, and accounts of 2013-14 interviews.</w:t>
      </w:r>
    </w:p>
    <w:p w:rsidR="00A04FCB" w:rsidRPr="0076418E" w:rsidRDefault="00A04FCB" w:rsidP="00A04FCB">
      <w:pPr>
        <w:pStyle w:val="p"/>
      </w:pPr>
      <w:r w:rsidRPr="0076418E">
        <w:t>The sample contains roughly equal numbers of men and women, despite the low proportion of female workers in the industry; on the Canadian scene, women count for 14% of creative workers and 5% of technical workers (</w:t>
      </w:r>
      <w:proofErr w:type="spellStart"/>
      <w:r w:rsidRPr="0076418E">
        <w:t>Nordicity</w:t>
      </w:r>
      <w:proofErr w:type="spellEnd"/>
      <w:r w:rsidRPr="0076418E">
        <w:t>, 2013). We make no claims about statistical representativeness, as our aim in establishing the sample was to help us make sense of the low numbers of women in the sector.</w:t>
      </w:r>
    </w:p>
    <w:p w:rsidR="00A04FCB" w:rsidRPr="0076418E" w:rsidRDefault="00A04FCB" w:rsidP="00A04FCB">
      <w:pPr>
        <w:pStyle w:val="p"/>
      </w:pPr>
      <w:r w:rsidRPr="0076418E">
        <w:t>The in-depth interviews lasted one and a half to two hours, and the interview guide was semi-structured. Many questions were posed as standard procedure to everyone, so simple descriptive statistics can be summed up, though the study was qualitative. Data were analysed with the grounded theory procedure (</w:t>
      </w:r>
      <w:proofErr w:type="spellStart"/>
      <w:r w:rsidRPr="0076418E">
        <w:t>Charmaz</w:t>
      </w:r>
      <w:proofErr w:type="spellEnd"/>
      <w:r w:rsidRPr="0076418E">
        <w:t>, 2000). Only part of the categories, relevant to our question, will be accounted for here; other publications will account for the rest of the study.</w:t>
      </w:r>
    </w:p>
    <w:p w:rsidR="00A04FCB" w:rsidRPr="0076418E" w:rsidRDefault="00A04FCB" w:rsidP="00A04FCB">
      <w:pPr>
        <w:pStyle w:val="p"/>
      </w:pPr>
      <w:r w:rsidRPr="0076418E">
        <w:t>Same can be said of the developers’ sample interviewed in Montreal in 2008; for them, however, we will rely on formerly published analyses (see the list above) and we will not provide interviews’ excerpts.</w:t>
      </w:r>
    </w:p>
    <w:p w:rsidR="00A04FCB" w:rsidRPr="0076418E" w:rsidRDefault="00A04FCB" w:rsidP="00A04FCB">
      <w:pPr>
        <w:pStyle w:val="p0"/>
      </w:pPr>
      <w:r w:rsidRPr="0076418E">
        <w:t>In short we will compare:</w:t>
      </w:r>
    </w:p>
    <w:p w:rsidR="00A04FCB" w:rsidRPr="0076418E" w:rsidRDefault="00A04FCB" w:rsidP="00A04FCB">
      <w:pPr>
        <w:pStyle w:val="e1"/>
      </w:pPr>
      <w:r w:rsidRPr="0076418E">
        <w:t>-</w:t>
      </w:r>
      <w:r w:rsidRPr="0076418E">
        <w:tab/>
      </w:r>
      <w:proofErr w:type="gramStart"/>
      <w:r w:rsidRPr="0076418E">
        <w:t>the</w:t>
      </w:r>
      <w:proofErr w:type="gramEnd"/>
      <w:r w:rsidRPr="0076418E">
        <w:t xml:space="preserve"> detailed picture of working time IGDA has documented in 2004 in its first </w:t>
      </w:r>
      <w:proofErr w:type="spellStart"/>
      <w:r w:rsidRPr="0076418E">
        <w:t>QoL</w:t>
      </w:r>
      <w:proofErr w:type="spellEnd"/>
      <w:r w:rsidRPr="0076418E">
        <w:t xml:space="preserve"> survey;</w:t>
      </w:r>
    </w:p>
    <w:p w:rsidR="00A04FCB" w:rsidRPr="0076418E" w:rsidRDefault="00A04FCB" w:rsidP="00A04FCB">
      <w:pPr>
        <w:pStyle w:val="e1"/>
      </w:pPr>
      <w:r w:rsidRPr="0076418E">
        <w:t>-</w:t>
      </w:r>
      <w:r w:rsidRPr="0076418E">
        <w:tab/>
        <w:t>this same picture that we and the IGDA have documented in 2009 throughout an international survey and interviews conducted in Montreal (relying on published analyses: Chasserio &amp; Legault, 2010, 2009; D’Amours &amp; Legault, 2013; Lega</w:t>
      </w:r>
      <w:r w:rsidR="004433BD">
        <w:t>ult &amp; Weststar, 2012, 2014</w:t>
      </w:r>
      <w:r w:rsidR="0069329E">
        <w:t>, 2015</w:t>
      </w:r>
      <w:r w:rsidRPr="0076418E">
        <w:t>; Legault, 2013; Legault &amp; Chasserio, 2012; Legault &amp; Ouellet, 2012; Legault &amp; D’Amours, 2011</w:t>
      </w:r>
      <w:r w:rsidR="0069329E">
        <w:t xml:space="preserve">; </w:t>
      </w:r>
      <w:r w:rsidR="0069329E" w:rsidRPr="0076418E">
        <w:t xml:space="preserve">Weststar &amp; Legault, </w:t>
      </w:r>
      <w:r w:rsidR="0069329E">
        <w:t>2012</w:t>
      </w:r>
      <w:r w:rsidRPr="0076418E">
        <w:t>);</w:t>
      </w:r>
    </w:p>
    <w:p w:rsidR="00A04FCB" w:rsidRPr="0076418E" w:rsidRDefault="00A04FCB" w:rsidP="00A04FCB">
      <w:pPr>
        <w:pStyle w:val="e10"/>
        <w:rPr>
          <w:lang w:val="en-CA"/>
        </w:rPr>
      </w:pPr>
      <w:r w:rsidRPr="0076418E">
        <w:rPr>
          <w:lang w:val="en-CA"/>
        </w:rPr>
        <w:t>-</w:t>
      </w:r>
      <w:r w:rsidRPr="0076418E">
        <w:rPr>
          <w:lang w:val="en-CA"/>
        </w:rPr>
        <w:tab/>
        <w:t xml:space="preserve">and the detailed picture IGDA and us have just taken in 2014 through an international survey (Edwards, Weststar, Meloni, Pearce &amp; Legault, 2014; Weststar &amp; Legault, </w:t>
      </w:r>
      <w:r w:rsidR="0069329E">
        <w:rPr>
          <w:lang w:val="en-CA"/>
        </w:rPr>
        <w:t>2014</w:t>
      </w:r>
      <w:r w:rsidRPr="0076418E">
        <w:rPr>
          <w:lang w:val="en-CA"/>
        </w:rPr>
        <w:t xml:space="preserve">) and interviews conducted in Montreal, Vancouver and Toronto. </w:t>
      </w:r>
    </w:p>
    <w:p w:rsidR="00A04FCB" w:rsidRPr="0076418E" w:rsidRDefault="00A04FCB" w:rsidP="00A04FCB">
      <w:pPr>
        <w:pStyle w:val="p"/>
      </w:pPr>
      <w:r w:rsidRPr="0076418E">
        <w:t xml:space="preserve">This allows us to compare three milestones in the young life of this industry. What we aim to do here is to take stock of the evolution in the international industry’s decision making </w:t>
      </w:r>
      <w:r w:rsidRPr="0076418E">
        <w:lastRenderedPageBreak/>
        <w:t>process, and of satisfaction and dissatisfaction among VGDs.</w:t>
      </w:r>
    </w:p>
    <w:p w:rsidR="008B5544" w:rsidRPr="008B5544" w:rsidRDefault="008B5544" w:rsidP="008B5544">
      <w:pPr>
        <w:pStyle w:val="Heading2"/>
        <w:rPr>
          <w:lang w:val="en-CA" w:eastAsia="en-US"/>
        </w:rPr>
      </w:pPr>
      <w:r w:rsidRPr="008B5544">
        <w:rPr>
          <w:lang w:val="en-CA" w:eastAsia="en-US"/>
        </w:rPr>
        <w:t>Caveat</w:t>
      </w:r>
    </w:p>
    <w:p w:rsidR="008B5544" w:rsidRPr="00A04FCB" w:rsidRDefault="008B5544" w:rsidP="00A04FCB">
      <w:pPr>
        <w:pStyle w:val="p0"/>
      </w:pPr>
      <w:r>
        <w:t xml:space="preserve">Respondents to these IGDA </w:t>
      </w:r>
      <w:r w:rsidRPr="00A04FCB">
        <w:t xml:space="preserve">surveys are 1) IGDA members and 2) consenting willfully to answer the survey. There could be a self-selection effect in our sample as: </w:t>
      </w:r>
    </w:p>
    <w:p w:rsidR="008B5544" w:rsidRPr="00A04FCB" w:rsidRDefault="008B5544" w:rsidP="008B5544">
      <w:pPr>
        <w:pStyle w:val="e1"/>
      </w:pPr>
      <w:r w:rsidRPr="00A04FCB">
        <w:t>-</w:t>
      </w:r>
      <w:r w:rsidRPr="00A04FCB">
        <w:tab/>
        <w:t xml:space="preserve">developers who do not work much in crunch time could have more time to participate, while those who are crunching may be too busy to do; </w:t>
      </w:r>
    </w:p>
    <w:p w:rsidR="008B5544" w:rsidRPr="00A04FCB" w:rsidRDefault="008B5544" w:rsidP="008B5544">
      <w:pPr>
        <w:pStyle w:val="e10"/>
        <w:rPr>
          <w:lang w:val="en-CA"/>
        </w:rPr>
      </w:pPr>
      <w:r w:rsidRPr="00A04FCB">
        <w:rPr>
          <w:lang w:val="en-CA"/>
        </w:rPr>
        <w:t>-</w:t>
      </w:r>
      <w:r w:rsidRPr="00A04FCB">
        <w:rPr>
          <w:lang w:val="en-CA"/>
        </w:rPr>
        <w:tab/>
        <w:t xml:space="preserve">developers who work in non-crunching teams within a studio that practices crunch time work on other teams could have more time to participate, in the same way. </w:t>
      </w:r>
    </w:p>
    <w:p w:rsidR="008B5544" w:rsidRPr="008B5544" w:rsidRDefault="008B5544" w:rsidP="008B5544">
      <w:pPr>
        <w:pStyle w:val="p"/>
      </w:pPr>
      <w:r>
        <w:t xml:space="preserve">As a consequence, if this was true, our report could give a skewed picture of the actual working time in this environment. </w:t>
      </w:r>
    </w:p>
    <w:p w:rsidR="00ED0E89" w:rsidRDefault="00ED0E89" w:rsidP="00ED0E89">
      <w:pPr>
        <w:pStyle w:val="Heading1"/>
        <w:rPr>
          <w:lang w:val="en-CA"/>
        </w:rPr>
      </w:pPr>
      <w:bookmarkStart w:id="10" w:name="_Toc408662178"/>
      <w:bookmarkStart w:id="11" w:name="_Toc428799761"/>
      <w:r w:rsidRPr="00256CDE">
        <w:rPr>
          <w:lang w:val="en-CA"/>
        </w:rPr>
        <w:t xml:space="preserve">a general decrease in </w:t>
      </w:r>
      <w:r w:rsidRPr="00EA0FF7">
        <w:rPr>
          <w:lang w:val="en-CA"/>
        </w:rPr>
        <w:t>regular hours</w:t>
      </w:r>
      <w:r>
        <w:rPr>
          <w:lang w:val="en-CA"/>
        </w:rPr>
        <w:t xml:space="preserve"> of work</w:t>
      </w:r>
      <w:bookmarkEnd w:id="10"/>
      <w:bookmarkEnd w:id="11"/>
    </w:p>
    <w:p w:rsidR="00ED0E89" w:rsidRPr="00ED0E89" w:rsidRDefault="00ED0E89" w:rsidP="00763264">
      <w:pPr>
        <w:pStyle w:val="p"/>
      </w:pPr>
      <w:r w:rsidRPr="00ED0E89">
        <w:t xml:space="preserve">The IGDA surveys distinguished </w:t>
      </w:r>
      <w:r w:rsidR="008A3220">
        <w:t xml:space="preserve">between </w:t>
      </w:r>
      <w:r w:rsidRPr="00ED0E89">
        <w:t xml:space="preserve">two different targets in investigating regular hours of work among respondents: the hours developers are expected to work and the hours that they actually work. </w:t>
      </w:r>
    </w:p>
    <w:p w:rsidR="00ED0E89" w:rsidRPr="00EA0FF7" w:rsidRDefault="00ED0E89" w:rsidP="00ED0E89">
      <w:pPr>
        <w:pStyle w:val="Heading2"/>
        <w:rPr>
          <w:lang w:val="en-CA"/>
        </w:rPr>
      </w:pPr>
      <w:bookmarkStart w:id="12" w:name="_Toc408662179"/>
      <w:bookmarkStart w:id="13" w:name="_Toc428799762"/>
      <w:r>
        <w:rPr>
          <w:lang w:val="en-CA"/>
        </w:rPr>
        <w:t xml:space="preserve">Hours management </w:t>
      </w:r>
      <w:r w:rsidRPr="00EA0FF7">
        <w:rPr>
          <w:lang w:val="en-CA"/>
        </w:rPr>
        <w:t>expect</w:t>
      </w:r>
      <w:r>
        <w:rPr>
          <w:lang w:val="en-CA"/>
        </w:rPr>
        <w:t>s developers to work</w:t>
      </w:r>
      <w:bookmarkEnd w:id="12"/>
      <w:bookmarkEnd w:id="13"/>
    </w:p>
    <w:p w:rsidR="00ED0E89" w:rsidRPr="00ED0E89" w:rsidRDefault="00ED0E89" w:rsidP="00763264">
      <w:pPr>
        <w:pStyle w:val="p"/>
      </w:pPr>
      <w:r w:rsidRPr="00ED0E89">
        <w:t xml:space="preserve">First, we can observe the management’s expectations regarding the duration of the regular working week, </w:t>
      </w:r>
      <w:r w:rsidRPr="00ED0E89">
        <w:rPr>
          <w:b/>
        </w:rPr>
        <w:t>as perceived by respondents</w:t>
      </w:r>
      <w:r w:rsidRPr="00ED0E89">
        <w:t xml:space="preserve">. This question was first asked in 2009 so we can now see how the situation has changed in 2014. </w:t>
      </w:r>
    </w:p>
    <w:p w:rsidR="00ED0E89" w:rsidRPr="00ED0E89" w:rsidRDefault="008A3220" w:rsidP="00763264">
      <w:pPr>
        <w:pStyle w:val="p"/>
      </w:pPr>
      <w:r>
        <w:t>Table 2</w:t>
      </w:r>
      <w:r w:rsidRPr="00ED0E89">
        <w:t xml:space="preserve"> shows an improvement</w:t>
      </w:r>
      <w:r>
        <w:t xml:space="preserve"> in managers’ expectations,</w:t>
      </w:r>
      <w:r w:rsidRPr="00ED0E89">
        <w:t xml:space="preserve"> </w:t>
      </w:r>
      <w:r>
        <w:t>at least</w:t>
      </w:r>
      <w:r w:rsidRPr="00ED0E89">
        <w:t xml:space="preserve"> in the </w:t>
      </w:r>
      <w:r>
        <w:t>perception of the survey respondents</w:t>
      </w:r>
      <w:r w:rsidRPr="00ED0E89">
        <w:t>.</w:t>
      </w:r>
      <w:r>
        <w:t xml:space="preserve"> </w:t>
      </w:r>
      <w:r w:rsidR="00ED0E89" w:rsidRPr="00ED0E89">
        <w:t xml:space="preserve">In 2014, a larger share of respondents </w:t>
      </w:r>
      <w:r>
        <w:t xml:space="preserve">than in 2009 </w:t>
      </w:r>
      <w:r w:rsidR="00ED0E89" w:rsidRPr="00ED0E89">
        <w:t>reported that their studio management expects them to work 35-39 hours per week when</w:t>
      </w:r>
      <w:r>
        <w:t xml:space="preserve"> not in crunch time</w:t>
      </w:r>
      <w:r w:rsidR="00ED0E89" w:rsidRPr="00ED0E89">
        <w:t xml:space="preserve">. This category is what we would consider ‘normal’ hours in a ‘standard’ work week. Complementing </w:t>
      </w:r>
      <w:r>
        <w:t>this increase, compared to 2009</w:t>
      </w:r>
      <w:r w:rsidR="00ED0E89" w:rsidRPr="00ED0E89">
        <w:t xml:space="preserve"> a smaller share of respondents in 2014 felt that their studio management team expects </w:t>
      </w:r>
      <w:r>
        <w:t>longer hours (</w:t>
      </w:r>
      <w:r w:rsidR="00ED0E89" w:rsidRPr="00ED0E89">
        <w:t>between 40 and 49 hours a week</w:t>
      </w:r>
      <w:r>
        <w:t>)</w:t>
      </w:r>
      <w:r w:rsidR="00ED0E89" w:rsidRPr="00ED0E89">
        <w:t xml:space="preserve"> </w:t>
      </w:r>
      <w:r>
        <w:t>as a regular work</w:t>
      </w:r>
      <w:r w:rsidR="00ED0E89" w:rsidRPr="00ED0E89">
        <w:t xml:space="preserve"> week. </w:t>
      </w:r>
    </w:p>
    <w:p w:rsidR="00ED0E89" w:rsidRDefault="00ED0E89" w:rsidP="00ED0E89">
      <w:pPr>
        <w:pStyle w:val="Heading5"/>
        <w:rPr>
          <w:lang w:val="en-CA"/>
        </w:rPr>
      </w:pPr>
      <w:r>
        <w:rPr>
          <w:lang w:val="en-CA"/>
        </w:rPr>
        <w:t>Table 2</w:t>
      </w:r>
    </w:p>
    <w:p w:rsidR="00ED0E89" w:rsidRPr="00EA0FF7" w:rsidRDefault="00ED0E89" w:rsidP="00ED0E89">
      <w:pPr>
        <w:pStyle w:val="Heading5"/>
        <w:rPr>
          <w:lang w:val="en-CA"/>
        </w:rPr>
      </w:pPr>
      <w:r w:rsidRPr="00EA0FF7">
        <w:rPr>
          <w:lang w:val="en-CA"/>
        </w:rPr>
        <w:t xml:space="preserve">How many hours per week on average are you EXPECTED to work when in a REGULAR schedule? </w:t>
      </w:r>
      <w:r w:rsidR="006E1C92" w:rsidRPr="00645509">
        <w:rPr>
          <w:lang w:val="en-CA"/>
        </w:rPr>
        <w:t>(</w:t>
      </w:r>
      <w:r w:rsidRPr="00645509">
        <w:rPr>
          <w:lang w:val="en-CA"/>
        </w:rPr>
        <w:t>2009 – 2014)</w:t>
      </w:r>
    </w:p>
    <w:tbl>
      <w:tblPr>
        <w:tblW w:w="0" w:type="auto"/>
        <w:tblInd w:w="152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1843"/>
        <w:gridCol w:w="1701"/>
        <w:gridCol w:w="1701"/>
      </w:tblGrid>
      <w:tr w:rsidR="00E17D21" w:rsidRPr="00EA0FF7" w:rsidTr="00E17D21">
        <w:tc>
          <w:tcPr>
            <w:tcW w:w="1843" w:type="dxa"/>
            <w:shd w:val="clear" w:color="auto" w:fill="D9D9D9"/>
          </w:tcPr>
          <w:p w:rsidR="00ED0E89" w:rsidRPr="00E17D21" w:rsidRDefault="00ED0E89" w:rsidP="003F6C69">
            <w:pPr>
              <w:pStyle w:val="chiffres"/>
              <w:rPr>
                <w:lang w:val="en-CA"/>
              </w:rPr>
            </w:pPr>
          </w:p>
        </w:tc>
        <w:tc>
          <w:tcPr>
            <w:tcW w:w="3402" w:type="dxa"/>
            <w:gridSpan w:val="2"/>
            <w:shd w:val="clear" w:color="auto" w:fill="D9D9D9"/>
          </w:tcPr>
          <w:p w:rsidR="00ED0E89" w:rsidRPr="00E17D21" w:rsidRDefault="00ED0E89" w:rsidP="003F6C69">
            <w:pPr>
              <w:pStyle w:val="chiffres"/>
              <w:rPr>
                <w:lang w:val="en-CA"/>
              </w:rPr>
            </w:pPr>
            <w:r w:rsidRPr="00E17D21">
              <w:rPr>
                <w:lang w:val="en-CA"/>
              </w:rPr>
              <w:t>% of respondents</w:t>
            </w:r>
          </w:p>
        </w:tc>
      </w:tr>
      <w:tr w:rsidR="00E17D21" w:rsidRPr="00EA0FF7" w:rsidTr="00E17D21">
        <w:tc>
          <w:tcPr>
            <w:tcW w:w="1843" w:type="dxa"/>
            <w:shd w:val="clear" w:color="auto" w:fill="D9D9D9"/>
          </w:tcPr>
          <w:p w:rsidR="00ED0E89" w:rsidRPr="00E17D21" w:rsidRDefault="00ED0E89" w:rsidP="003F6C69">
            <w:pPr>
              <w:pStyle w:val="chiffres"/>
              <w:rPr>
                <w:lang w:val="en-CA"/>
              </w:rPr>
            </w:pPr>
            <w:r w:rsidRPr="00E17D21">
              <w:rPr>
                <w:lang w:val="en-CA"/>
              </w:rPr>
              <w:t>Weekly hours</w:t>
            </w:r>
          </w:p>
        </w:tc>
        <w:tc>
          <w:tcPr>
            <w:tcW w:w="1701" w:type="dxa"/>
            <w:shd w:val="clear" w:color="auto" w:fill="D9D9D9"/>
          </w:tcPr>
          <w:p w:rsidR="00ED0E89" w:rsidRPr="00E17D21" w:rsidRDefault="00ED0E89" w:rsidP="003F6C69">
            <w:pPr>
              <w:pStyle w:val="chiffres"/>
              <w:rPr>
                <w:lang w:val="en-CA"/>
              </w:rPr>
            </w:pPr>
            <w:r w:rsidRPr="00E17D21">
              <w:rPr>
                <w:lang w:val="en-CA"/>
              </w:rPr>
              <w:t>2009</w:t>
            </w:r>
          </w:p>
        </w:tc>
        <w:tc>
          <w:tcPr>
            <w:tcW w:w="1701" w:type="dxa"/>
            <w:shd w:val="clear" w:color="auto" w:fill="D9D9D9"/>
          </w:tcPr>
          <w:p w:rsidR="00ED0E89" w:rsidRPr="00E17D21" w:rsidRDefault="00ED0E89" w:rsidP="003F6C69">
            <w:pPr>
              <w:pStyle w:val="chiffres"/>
              <w:rPr>
                <w:lang w:val="en-CA"/>
              </w:rPr>
            </w:pPr>
            <w:r w:rsidRPr="00E17D21">
              <w:rPr>
                <w:lang w:val="en-CA"/>
              </w:rPr>
              <w:t>2014</w:t>
            </w:r>
          </w:p>
        </w:tc>
      </w:tr>
      <w:tr w:rsidR="00E17D21" w:rsidRPr="00EA0FF7" w:rsidTr="00E17D21">
        <w:tc>
          <w:tcPr>
            <w:tcW w:w="1843" w:type="dxa"/>
            <w:shd w:val="clear" w:color="auto" w:fill="D9D9D9"/>
          </w:tcPr>
          <w:p w:rsidR="00ED0E89" w:rsidRPr="00EA0FF7" w:rsidRDefault="00ED0E89" w:rsidP="003F6C69">
            <w:pPr>
              <w:pStyle w:val="chiffres2"/>
            </w:pPr>
            <w:r w:rsidRPr="00EA0FF7">
              <w:t>0-20</w:t>
            </w:r>
          </w:p>
        </w:tc>
        <w:tc>
          <w:tcPr>
            <w:tcW w:w="1701" w:type="dxa"/>
            <w:shd w:val="clear" w:color="auto" w:fill="D9D9D9"/>
          </w:tcPr>
          <w:p w:rsidR="00ED0E89" w:rsidRPr="00E17D21" w:rsidRDefault="00ED0E89" w:rsidP="008A3220">
            <w:pPr>
              <w:pStyle w:val="chiffres2"/>
              <w:jc w:val="center"/>
              <w:rPr>
                <w:rFonts w:cs="Arial"/>
              </w:rPr>
            </w:pPr>
            <w:r w:rsidRPr="00E17D21">
              <w:rPr>
                <w:rFonts w:cs="Arial"/>
              </w:rPr>
              <w:t>2</w:t>
            </w:r>
          </w:p>
        </w:tc>
        <w:tc>
          <w:tcPr>
            <w:tcW w:w="1701" w:type="dxa"/>
            <w:shd w:val="clear" w:color="auto" w:fill="D9D9D9"/>
          </w:tcPr>
          <w:p w:rsidR="00ED0E89" w:rsidRPr="00EA0FF7" w:rsidRDefault="00ED0E89" w:rsidP="008A3220">
            <w:pPr>
              <w:pStyle w:val="chiffres2"/>
              <w:jc w:val="center"/>
            </w:pPr>
            <w:r>
              <w:t>3</w:t>
            </w:r>
          </w:p>
        </w:tc>
      </w:tr>
      <w:tr w:rsidR="00E17D21" w:rsidRPr="00EA0FF7" w:rsidTr="00E17D21">
        <w:tc>
          <w:tcPr>
            <w:tcW w:w="1843" w:type="dxa"/>
            <w:shd w:val="clear" w:color="auto" w:fill="D9D9D9"/>
          </w:tcPr>
          <w:p w:rsidR="00ED0E89" w:rsidRPr="00EA0FF7" w:rsidRDefault="00ED0E89" w:rsidP="003F6C69">
            <w:pPr>
              <w:pStyle w:val="chiffres2"/>
            </w:pPr>
            <w:r w:rsidRPr="00EA0FF7">
              <w:lastRenderedPageBreak/>
              <w:t>20-24</w:t>
            </w:r>
          </w:p>
        </w:tc>
        <w:tc>
          <w:tcPr>
            <w:tcW w:w="1701" w:type="dxa"/>
            <w:shd w:val="clear" w:color="auto" w:fill="D9D9D9"/>
          </w:tcPr>
          <w:p w:rsidR="00ED0E89" w:rsidRPr="00E17D21" w:rsidRDefault="00ED0E89" w:rsidP="008A3220">
            <w:pPr>
              <w:pStyle w:val="chiffres2"/>
              <w:jc w:val="center"/>
              <w:rPr>
                <w:rFonts w:cs="Arial"/>
              </w:rPr>
            </w:pPr>
            <w:r w:rsidRPr="00E17D21">
              <w:rPr>
                <w:rFonts w:cs="Arial"/>
              </w:rPr>
              <w:t>1</w:t>
            </w:r>
          </w:p>
        </w:tc>
        <w:tc>
          <w:tcPr>
            <w:tcW w:w="1701" w:type="dxa"/>
            <w:shd w:val="clear" w:color="auto" w:fill="D9D9D9"/>
          </w:tcPr>
          <w:p w:rsidR="00ED0E89" w:rsidRPr="00EA0FF7" w:rsidRDefault="00ED0E89" w:rsidP="008A3220">
            <w:pPr>
              <w:pStyle w:val="chiffres2"/>
              <w:jc w:val="center"/>
            </w:pPr>
            <w:r>
              <w:t>3</w:t>
            </w:r>
          </w:p>
        </w:tc>
      </w:tr>
      <w:tr w:rsidR="00E17D21" w:rsidRPr="00EA0FF7" w:rsidTr="00E17D21">
        <w:tc>
          <w:tcPr>
            <w:tcW w:w="1843" w:type="dxa"/>
            <w:shd w:val="clear" w:color="auto" w:fill="D9D9D9"/>
          </w:tcPr>
          <w:p w:rsidR="00ED0E89" w:rsidRPr="00EA0FF7" w:rsidRDefault="00ED0E89" w:rsidP="003F6C69">
            <w:pPr>
              <w:pStyle w:val="chiffres2"/>
            </w:pPr>
            <w:r w:rsidRPr="00EA0FF7">
              <w:t>25-29</w:t>
            </w:r>
          </w:p>
        </w:tc>
        <w:tc>
          <w:tcPr>
            <w:tcW w:w="1701" w:type="dxa"/>
            <w:shd w:val="clear" w:color="auto" w:fill="D9D9D9"/>
          </w:tcPr>
          <w:p w:rsidR="00ED0E89" w:rsidRPr="00E17D21" w:rsidRDefault="00ED0E89" w:rsidP="008A3220">
            <w:pPr>
              <w:pStyle w:val="chiffres2"/>
              <w:jc w:val="center"/>
              <w:rPr>
                <w:rFonts w:cs="Arial"/>
              </w:rPr>
            </w:pPr>
            <w:r w:rsidRPr="00E17D21">
              <w:rPr>
                <w:rFonts w:cs="Arial"/>
              </w:rPr>
              <w:t>0</w:t>
            </w:r>
          </w:p>
        </w:tc>
        <w:tc>
          <w:tcPr>
            <w:tcW w:w="1701" w:type="dxa"/>
            <w:shd w:val="clear" w:color="auto" w:fill="D9D9D9"/>
          </w:tcPr>
          <w:p w:rsidR="00ED0E89" w:rsidRPr="00EA0FF7" w:rsidRDefault="00ED0E89" w:rsidP="008A3220">
            <w:pPr>
              <w:pStyle w:val="chiffres2"/>
              <w:jc w:val="center"/>
            </w:pPr>
            <w:r>
              <w:t>1</w:t>
            </w:r>
          </w:p>
        </w:tc>
      </w:tr>
      <w:tr w:rsidR="00E17D21" w:rsidRPr="00EA0FF7" w:rsidTr="00E17D21">
        <w:tc>
          <w:tcPr>
            <w:tcW w:w="1843" w:type="dxa"/>
            <w:shd w:val="clear" w:color="auto" w:fill="D9D9D9"/>
          </w:tcPr>
          <w:p w:rsidR="00ED0E89" w:rsidRPr="00EA0FF7" w:rsidRDefault="00ED0E89" w:rsidP="003F6C69">
            <w:pPr>
              <w:pStyle w:val="chiffres2"/>
            </w:pPr>
            <w:r w:rsidRPr="00EA0FF7">
              <w:t>30-34</w:t>
            </w:r>
          </w:p>
        </w:tc>
        <w:tc>
          <w:tcPr>
            <w:tcW w:w="1701" w:type="dxa"/>
            <w:shd w:val="clear" w:color="auto" w:fill="D9D9D9"/>
          </w:tcPr>
          <w:p w:rsidR="00ED0E89" w:rsidRPr="00E17D21" w:rsidRDefault="00ED0E89" w:rsidP="008A3220">
            <w:pPr>
              <w:pStyle w:val="chiffres2"/>
              <w:jc w:val="center"/>
              <w:rPr>
                <w:rFonts w:cs="Arial"/>
              </w:rPr>
            </w:pPr>
            <w:r w:rsidRPr="00E17D21">
              <w:rPr>
                <w:rFonts w:cs="Arial"/>
              </w:rPr>
              <w:t>0</w:t>
            </w:r>
          </w:p>
        </w:tc>
        <w:tc>
          <w:tcPr>
            <w:tcW w:w="1701" w:type="dxa"/>
            <w:shd w:val="clear" w:color="auto" w:fill="D9D9D9"/>
          </w:tcPr>
          <w:p w:rsidR="00ED0E89" w:rsidRPr="00EA0FF7" w:rsidRDefault="00ED0E89" w:rsidP="008A3220">
            <w:pPr>
              <w:pStyle w:val="chiffres2"/>
              <w:jc w:val="center"/>
            </w:pPr>
            <w:r>
              <w:t>3</w:t>
            </w:r>
          </w:p>
        </w:tc>
      </w:tr>
      <w:tr w:rsidR="00E17D21" w:rsidRPr="00EA0FF7" w:rsidTr="00E17D21">
        <w:tc>
          <w:tcPr>
            <w:tcW w:w="1843" w:type="dxa"/>
            <w:shd w:val="clear" w:color="auto" w:fill="FFFF00"/>
          </w:tcPr>
          <w:p w:rsidR="00ED0E89" w:rsidRPr="00BB6E7B" w:rsidRDefault="00ED0E89" w:rsidP="003F6C69">
            <w:pPr>
              <w:pStyle w:val="chiffres2"/>
            </w:pPr>
            <w:r w:rsidRPr="00BB6E7B">
              <w:t>35-39</w:t>
            </w:r>
          </w:p>
        </w:tc>
        <w:tc>
          <w:tcPr>
            <w:tcW w:w="1701" w:type="dxa"/>
            <w:shd w:val="clear" w:color="auto" w:fill="FFFF00"/>
          </w:tcPr>
          <w:p w:rsidR="00ED0E89" w:rsidRPr="00E17D21" w:rsidRDefault="00ED0E89" w:rsidP="008A3220">
            <w:pPr>
              <w:pStyle w:val="chiffres2"/>
              <w:jc w:val="center"/>
              <w:rPr>
                <w:rFonts w:cs="Arial"/>
              </w:rPr>
            </w:pPr>
            <w:r w:rsidRPr="00E17D21">
              <w:rPr>
                <w:rFonts w:cs="Arial"/>
              </w:rPr>
              <w:t>8</w:t>
            </w:r>
          </w:p>
        </w:tc>
        <w:tc>
          <w:tcPr>
            <w:tcW w:w="1701" w:type="dxa"/>
            <w:shd w:val="clear" w:color="auto" w:fill="FFFF00"/>
          </w:tcPr>
          <w:p w:rsidR="00ED0E89" w:rsidRPr="00EA0FF7" w:rsidRDefault="00ED0E89" w:rsidP="008A3220">
            <w:pPr>
              <w:pStyle w:val="chiffres2"/>
              <w:jc w:val="center"/>
            </w:pPr>
            <w:r w:rsidRPr="00EA0FF7">
              <w:t>18</w:t>
            </w:r>
          </w:p>
        </w:tc>
      </w:tr>
      <w:tr w:rsidR="00E17D21" w:rsidRPr="00EA0FF7" w:rsidTr="00E17D21">
        <w:tc>
          <w:tcPr>
            <w:tcW w:w="1843" w:type="dxa"/>
            <w:shd w:val="clear" w:color="auto" w:fill="FFFF00"/>
          </w:tcPr>
          <w:p w:rsidR="00ED0E89" w:rsidRPr="00BB6E7B" w:rsidRDefault="00ED0E89" w:rsidP="003F6C69">
            <w:pPr>
              <w:pStyle w:val="chiffres2"/>
            </w:pPr>
            <w:r w:rsidRPr="00BB6E7B">
              <w:t>40-44</w:t>
            </w:r>
          </w:p>
        </w:tc>
        <w:tc>
          <w:tcPr>
            <w:tcW w:w="1701" w:type="dxa"/>
            <w:shd w:val="clear" w:color="auto" w:fill="FFFF00"/>
          </w:tcPr>
          <w:p w:rsidR="00ED0E89" w:rsidRPr="00E17D21" w:rsidRDefault="00ED0E89" w:rsidP="008A3220">
            <w:pPr>
              <w:pStyle w:val="chiffres2"/>
              <w:jc w:val="center"/>
              <w:rPr>
                <w:rFonts w:cs="Arial"/>
              </w:rPr>
            </w:pPr>
            <w:r w:rsidRPr="00E17D21">
              <w:rPr>
                <w:rFonts w:cs="Arial"/>
              </w:rPr>
              <w:t>71</w:t>
            </w:r>
          </w:p>
        </w:tc>
        <w:tc>
          <w:tcPr>
            <w:tcW w:w="1701" w:type="dxa"/>
            <w:shd w:val="clear" w:color="auto" w:fill="FFFF00"/>
          </w:tcPr>
          <w:p w:rsidR="00ED0E89" w:rsidRPr="00EA0FF7" w:rsidRDefault="00ED0E89" w:rsidP="008A3220">
            <w:pPr>
              <w:pStyle w:val="chiffres2"/>
              <w:jc w:val="center"/>
            </w:pPr>
            <w:r>
              <w:t>62</w:t>
            </w:r>
          </w:p>
        </w:tc>
      </w:tr>
      <w:tr w:rsidR="00E17D21" w:rsidRPr="00EA0FF7" w:rsidTr="00E17D21">
        <w:tc>
          <w:tcPr>
            <w:tcW w:w="1843" w:type="dxa"/>
            <w:shd w:val="clear" w:color="auto" w:fill="FFFF00"/>
          </w:tcPr>
          <w:p w:rsidR="00ED0E89" w:rsidRPr="00BB6E7B" w:rsidRDefault="00ED0E89" w:rsidP="003F6C69">
            <w:pPr>
              <w:pStyle w:val="chiffres2"/>
            </w:pPr>
            <w:r w:rsidRPr="00BB6E7B">
              <w:t>45-49</w:t>
            </w:r>
          </w:p>
        </w:tc>
        <w:tc>
          <w:tcPr>
            <w:tcW w:w="1701" w:type="dxa"/>
            <w:shd w:val="clear" w:color="auto" w:fill="FFFF00"/>
          </w:tcPr>
          <w:p w:rsidR="00ED0E89" w:rsidRPr="00E17D21" w:rsidRDefault="00ED0E89" w:rsidP="008A3220">
            <w:pPr>
              <w:pStyle w:val="chiffres2"/>
              <w:jc w:val="center"/>
              <w:rPr>
                <w:rFonts w:cs="Arial"/>
              </w:rPr>
            </w:pPr>
            <w:r w:rsidRPr="00E17D21">
              <w:rPr>
                <w:rFonts w:cs="Arial"/>
              </w:rPr>
              <w:t>10</w:t>
            </w:r>
          </w:p>
        </w:tc>
        <w:tc>
          <w:tcPr>
            <w:tcW w:w="1701" w:type="dxa"/>
            <w:shd w:val="clear" w:color="auto" w:fill="FFFF00"/>
          </w:tcPr>
          <w:p w:rsidR="00ED0E89" w:rsidRPr="00EA0FF7" w:rsidRDefault="00ED0E89" w:rsidP="008A3220">
            <w:pPr>
              <w:pStyle w:val="chiffres2"/>
              <w:jc w:val="center"/>
            </w:pPr>
            <w:r>
              <w:t>6</w:t>
            </w:r>
          </w:p>
        </w:tc>
      </w:tr>
      <w:tr w:rsidR="00E17D21" w:rsidRPr="00EA0FF7" w:rsidTr="00E17D21">
        <w:tc>
          <w:tcPr>
            <w:tcW w:w="1843" w:type="dxa"/>
            <w:shd w:val="clear" w:color="auto" w:fill="D9D9D9"/>
          </w:tcPr>
          <w:p w:rsidR="00ED0E89" w:rsidRPr="00EA0FF7" w:rsidRDefault="00ED0E89" w:rsidP="003F6C69">
            <w:pPr>
              <w:pStyle w:val="chiffres2"/>
            </w:pPr>
            <w:r w:rsidRPr="00EA0FF7">
              <w:t>50-59</w:t>
            </w:r>
          </w:p>
        </w:tc>
        <w:tc>
          <w:tcPr>
            <w:tcW w:w="1701" w:type="dxa"/>
            <w:shd w:val="clear" w:color="auto" w:fill="D9D9D9"/>
          </w:tcPr>
          <w:p w:rsidR="00ED0E89" w:rsidRPr="00E17D21" w:rsidRDefault="00ED0E89" w:rsidP="008A3220">
            <w:pPr>
              <w:pStyle w:val="chiffres2"/>
              <w:jc w:val="center"/>
              <w:rPr>
                <w:rFonts w:cs="Arial"/>
              </w:rPr>
            </w:pPr>
            <w:r w:rsidRPr="00E17D21">
              <w:rPr>
                <w:rFonts w:cs="Arial"/>
              </w:rPr>
              <w:t>7</w:t>
            </w:r>
          </w:p>
        </w:tc>
        <w:tc>
          <w:tcPr>
            <w:tcW w:w="1701" w:type="dxa"/>
            <w:shd w:val="clear" w:color="auto" w:fill="D9D9D9"/>
          </w:tcPr>
          <w:p w:rsidR="00ED0E89" w:rsidRPr="00EA0FF7" w:rsidRDefault="00ED0E89" w:rsidP="008A3220">
            <w:pPr>
              <w:pStyle w:val="chiffres2"/>
              <w:jc w:val="center"/>
            </w:pPr>
            <w:r>
              <w:t>2</w:t>
            </w:r>
          </w:p>
        </w:tc>
      </w:tr>
      <w:tr w:rsidR="00E17D21" w:rsidRPr="00EA0FF7" w:rsidTr="00E17D21">
        <w:tc>
          <w:tcPr>
            <w:tcW w:w="1843" w:type="dxa"/>
            <w:shd w:val="clear" w:color="auto" w:fill="D9D9D9"/>
          </w:tcPr>
          <w:p w:rsidR="00ED0E89" w:rsidRPr="00EA0FF7" w:rsidRDefault="00ED0E89" w:rsidP="003F6C69">
            <w:pPr>
              <w:pStyle w:val="chiffres2"/>
            </w:pPr>
            <w:r w:rsidRPr="00EA0FF7">
              <w:t>60-69</w:t>
            </w:r>
          </w:p>
        </w:tc>
        <w:tc>
          <w:tcPr>
            <w:tcW w:w="1701" w:type="dxa"/>
            <w:shd w:val="clear" w:color="auto" w:fill="D9D9D9"/>
          </w:tcPr>
          <w:p w:rsidR="00ED0E89" w:rsidRPr="00E17D21" w:rsidRDefault="00ED0E89" w:rsidP="008A3220">
            <w:pPr>
              <w:pStyle w:val="chiffres2"/>
              <w:jc w:val="center"/>
              <w:rPr>
                <w:rFonts w:cs="Arial"/>
              </w:rPr>
            </w:pPr>
            <w:r w:rsidRPr="00E17D21">
              <w:rPr>
                <w:rFonts w:cs="Arial"/>
              </w:rPr>
              <w:t>1</w:t>
            </w:r>
          </w:p>
        </w:tc>
        <w:tc>
          <w:tcPr>
            <w:tcW w:w="1701" w:type="dxa"/>
            <w:shd w:val="clear" w:color="auto" w:fill="D9D9D9"/>
          </w:tcPr>
          <w:p w:rsidR="00ED0E89" w:rsidRPr="00EA0FF7" w:rsidRDefault="00ED0E89" w:rsidP="008A3220">
            <w:pPr>
              <w:pStyle w:val="chiffres2"/>
              <w:jc w:val="center"/>
            </w:pPr>
            <w:r>
              <w:t>0</w:t>
            </w:r>
          </w:p>
        </w:tc>
      </w:tr>
      <w:tr w:rsidR="00E17D21" w:rsidRPr="00EA0FF7" w:rsidTr="00E17D21">
        <w:tc>
          <w:tcPr>
            <w:tcW w:w="1843" w:type="dxa"/>
            <w:shd w:val="clear" w:color="auto" w:fill="D9D9D9"/>
          </w:tcPr>
          <w:p w:rsidR="00ED0E89" w:rsidRPr="00EA0FF7" w:rsidRDefault="00ED0E89" w:rsidP="003F6C69">
            <w:pPr>
              <w:pStyle w:val="chiffres2"/>
            </w:pPr>
            <w:r w:rsidRPr="00EA0FF7">
              <w:t>70-79</w:t>
            </w:r>
          </w:p>
        </w:tc>
        <w:tc>
          <w:tcPr>
            <w:tcW w:w="1701" w:type="dxa"/>
            <w:shd w:val="clear" w:color="auto" w:fill="D9D9D9"/>
          </w:tcPr>
          <w:p w:rsidR="00ED0E89" w:rsidRPr="00E17D21" w:rsidRDefault="00ED0E89" w:rsidP="008A3220">
            <w:pPr>
              <w:pStyle w:val="chiffres2"/>
              <w:jc w:val="center"/>
              <w:rPr>
                <w:rFonts w:cs="Arial"/>
              </w:rPr>
            </w:pPr>
            <w:r w:rsidRPr="00E17D21">
              <w:rPr>
                <w:rFonts w:cs="Arial"/>
              </w:rPr>
              <w:t>0</w:t>
            </w:r>
          </w:p>
        </w:tc>
        <w:tc>
          <w:tcPr>
            <w:tcW w:w="1701" w:type="dxa"/>
            <w:shd w:val="clear" w:color="auto" w:fill="D9D9D9"/>
          </w:tcPr>
          <w:p w:rsidR="00ED0E89" w:rsidRPr="00EA0FF7" w:rsidRDefault="00ED0E89" w:rsidP="008A3220">
            <w:pPr>
              <w:pStyle w:val="chiffres2"/>
              <w:jc w:val="center"/>
            </w:pPr>
            <w:r>
              <w:t>0</w:t>
            </w:r>
          </w:p>
        </w:tc>
      </w:tr>
      <w:tr w:rsidR="00E17D21" w:rsidRPr="00EA0FF7" w:rsidTr="00E17D21">
        <w:tc>
          <w:tcPr>
            <w:tcW w:w="1843" w:type="dxa"/>
            <w:shd w:val="clear" w:color="auto" w:fill="D9D9D9"/>
          </w:tcPr>
          <w:p w:rsidR="00ED0E89" w:rsidRPr="00EA0FF7" w:rsidRDefault="00ED0E89" w:rsidP="003F6C69">
            <w:pPr>
              <w:pStyle w:val="chiffres2"/>
            </w:pPr>
            <w:r w:rsidRPr="00EA0FF7">
              <w:t>80 +</w:t>
            </w:r>
          </w:p>
        </w:tc>
        <w:tc>
          <w:tcPr>
            <w:tcW w:w="1701" w:type="dxa"/>
            <w:shd w:val="clear" w:color="auto" w:fill="D9D9D9"/>
          </w:tcPr>
          <w:p w:rsidR="00ED0E89" w:rsidRPr="00E17D21" w:rsidRDefault="00ED0E89" w:rsidP="008A3220">
            <w:pPr>
              <w:pStyle w:val="chiffres2"/>
              <w:jc w:val="center"/>
              <w:rPr>
                <w:rFonts w:cs="Arial"/>
              </w:rPr>
            </w:pPr>
            <w:r w:rsidRPr="00E17D21">
              <w:rPr>
                <w:rFonts w:cs="Arial"/>
              </w:rPr>
              <w:t>0</w:t>
            </w:r>
          </w:p>
        </w:tc>
        <w:tc>
          <w:tcPr>
            <w:tcW w:w="1701" w:type="dxa"/>
            <w:shd w:val="clear" w:color="auto" w:fill="D9D9D9"/>
          </w:tcPr>
          <w:p w:rsidR="00ED0E89" w:rsidRPr="00EA0FF7" w:rsidRDefault="00ED0E89" w:rsidP="008A3220">
            <w:pPr>
              <w:pStyle w:val="chiffres2"/>
              <w:jc w:val="center"/>
            </w:pPr>
            <w:r>
              <w:t>3</w:t>
            </w:r>
          </w:p>
        </w:tc>
      </w:tr>
    </w:tbl>
    <w:p w:rsidR="00ED0E89" w:rsidRPr="00EA0FF7" w:rsidRDefault="00ED0E89" w:rsidP="00ED0E89">
      <w:pPr>
        <w:pStyle w:val="Heading2"/>
        <w:rPr>
          <w:lang w:val="en-CA"/>
        </w:rPr>
      </w:pPr>
      <w:bookmarkStart w:id="14" w:name="_Toc408662180"/>
      <w:bookmarkStart w:id="15" w:name="_Toc428799763"/>
      <w:r>
        <w:rPr>
          <w:lang w:val="en-CA"/>
        </w:rPr>
        <w:t xml:space="preserve">Hours developers </w:t>
      </w:r>
      <w:r w:rsidRPr="00EA0FF7">
        <w:rPr>
          <w:lang w:val="en-CA"/>
        </w:rPr>
        <w:t>actual</w:t>
      </w:r>
      <w:r>
        <w:rPr>
          <w:lang w:val="en-CA"/>
        </w:rPr>
        <w:t>ly work on regular days</w:t>
      </w:r>
      <w:bookmarkEnd w:id="14"/>
      <w:bookmarkEnd w:id="15"/>
    </w:p>
    <w:p w:rsidR="00ED0E89" w:rsidRPr="00ED0E89" w:rsidRDefault="00ED0E89" w:rsidP="00C97251">
      <w:pPr>
        <w:pStyle w:val="p"/>
      </w:pPr>
      <w:r w:rsidRPr="00ED0E89">
        <w:t>When we turn to the question of how many hours respondents actually work in a given week, we first have to acknowledge that we do not have a standardised data set as the given categories denoting a range of hours worked were broader in the 2004 survey and therefore do not exactly overl</w:t>
      </w:r>
      <w:r w:rsidR="00C97251">
        <w:t>ap with the subsequent surveys.</w:t>
      </w:r>
      <w:r w:rsidR="00F35D45">
        <w:t xml:space="preserve"> </w:t>
      </w:r>
      <w:r w:rsidR="00C97251">
        <w:t>Yet, w</w:t>
      </w:r>
      <w:r w:rsidRPr="00ED0E89">
        <w:t xml:space="preserve">e have arranged </w:t>
      </w:r>
      <w:r w:rsidR="00C97251">
        <w:t xml:space="preserve">the </w:t>
      </w:r>
      <w:r w:rsidRPr="00ED0E89">
        <w:t xml:space="preserve">data here to take advantage of </w:t>
      </w:r>
      <w:r w:rsidR="00C97251">
        <w:t xml:space="preserve">the </w:t>
      </w:r>
      <w:r w:rsidRPr="00ED0E89">
        <w:t xml:space="preserve">more detailed data in 2009 and 2014, and still manage to compare the outcomes of the three surveys. </w:t>
      </w:r>
    </w:p>
    <w:p w:rsidR="00ED0E89" w:rsidRPr="00ED0E89" w:rsidRDefault="00ED0E89" w:rsidP="00763264">
      <w:pPr>
        <w:pStyle w:val="p"/>
      </w:pPr>
      <w:r w:rsidRPr="00ED0E89">
        <w:t>We can observe a general decrease of the working ho</w:t>
      </w:r>
      <w:r w:rsidR="00C97251">
        <w:t>urs in the long run (2004-2014).</w:t>
      </w:r>
      <w:r w:rsidRPr="00ED0E89">
        <w:t xml:space="preserve"> </w:t>
      </w:r>
      <w:r w:rsidR="00C97251">
        <w:t>This means</w:t>
      </w:r>
      <w:r w:rsidRPr="00ED0E89">
        <w:t xml:space="preserve"> that there is an increase in the 35-44 hours bracket between 2004 and 2014. A bigger share of respondents reported this duration instead of the longer ones, hence an enhancement in the working conditions. </w:t>
      </w:r>
    </w:p>
    <w:p w:rsidR="00ED0E89" w:rsidRPr="00ED0E89" w:rsidRDefault="00C97251" w:rsidP="00763264">
      <w:pPr>
        <w:pStyle w:val="p"/>
      </w:pPr>
      <w:r>
        <w:t>T</w:t>
      </w:r>
      <w:r w:rsidR="00ED0E89" w:rsidRPr="00ED0E89">
        <w:t>here is a decrease in the longer duration categories during the same period, which just mirrors the same trend: more respondents in short durations</w:t>
      </w:r>
      <w:r w:rsidR="00032198">
        <w:t>.</w:t>
      </w:r>
      <w:r w:rsidR="00ED0E89" w:rsidRPr="00ED0E89">
        <w:t xml:space="preserve"> In 2004, 40% reported working 44 hours or less per week. T</w:t>
      </w:r>
      <w:r w:rsidR="009F1A12">
        <w:t>his increased dramatically to 59</w:t>
      </w:r>
      <w:r w:rsidR="00ED0E89" w:rsidRPr="00ED0E89">
        <w:t>% in 2009 and increased again slightly in 2014 to 66%. Over the same time period fewer respondents reported working</w:t>
      </w:r>
      <w:r w:rsidR="009F1A12">
        <w:t xml:space="preserve"> more than 45 hours per week: 61</w:t>
      </w:r>
      <w:r w:rsidR="00ED0E89" w:rsidRPr="00ED0E89">
        <w:t>% in 2004, 41% in 2009 and 34% in 2014</w:t>
      </w:r>
      <w:r>
        <w:t xml:space="preserve"> (T</w:t>
      </w:r>
      <w:r w:rsidR="009F1A12">
        <w:t>able 3)</w:t>
      </w:r>
      <w:r w:rsidR="00ED0E89" w:rsidRPr="00ED0E89">
        <w:t xml:space="preserve">. </w:t>
      </w:r>
    </w:p>
    <w:p w:rsidR="00C97251" w:rsidRDefault="00C97251" w:rsidP="00C97251">
      <w:pPr>
        <w:pStyle w:val="p"/>
      </w:pPr>
      <w:r>
        <w:t>This data also indicates that the number of part-time employees in the industry might be rising since there is an increase in the number working less than 30-34 hours per week.</w:t>
      </w:r>
      <w:r w:rsidR="00F35D45">
        <w:t xml:space="preserve"> </w:t>
      </w:r>
      <w:r>
        <w:t>As the game industry is not known as a</w:t>
      </w:r>
      <w:r w:rsidRPr="008010FC">
        <w:t xml:space="preserve"> sector where you can find part time employees, </w:t>
      </w:r>
      <w:r>
        <w:t>this requires</w:t>
      </w:r>
      <w:r w:rsidRPr="008010FC">
        <w:t xml:space="preserve"> deeper investigation. </w:t>
      </w:r>
    </w:p>
    <w:p w:rsidR="00645509" w:rsidRDefault="00645509">
      <w:pPr>
        <w:jc w:val="left"/>
        <w:rPr>
          <w:rFonts w:ascii="Arial Narrow" w:hAnsi="Arial Narrow"/>
          <w:sz w:val="22"/>
          <w:szCs w:val="22"/>
          <w:lang w:val="en-CA"/>
        </w:rPr>
      </w:pPr>
      <w:r w:rsidRPr="00F35D45">
        <w:rPr>
          <w:lang w:val="en-CA"/>
        </w:rPr>
        <w:br w:type="page"/>
      </w:r>
    </w:p>
    <w:p w:rsidR="00ED0E89" w:rsidRDefault="00ED0E89" w:rsidP="00ED0E89">
      <w:pPr>
        <w:pStyle w:val="Heading5"/>
        <w:rPr>
          <w:lang w:val="en-CA"/>
        </w:rPr>
      </w:pPr>
      <w:r>
        <w:rPr>
          <w:lang w:val="en-CA"/>
        </w:rPr>
        <w:lastRenderedPageBreak/>
        <w:t>Table 3</w:t>
      </w:r>
    </w:p>
    <w:p w:rsidR="006E1C92" w:rsidRDefault="00ED0E89" w:rsidP="00ED0E89">
      <w:pPr>
        <w:pStyle w:val="Heading5"/>
        <w:rPr>
          <w:lang w:val="en-CA"/>
        </w:rPr>
      </w:pPr>
      <w:r w:rsidRPr="00EA0FF7">
        <w:rPr>
          <w:lang w:val="en-CA"/>
        </w:rPr>
        <w:t xml:space="preserve">How many hours per week on average do you ACTUALLY work when in REGULAR schedule? </w:t>
      </w:r>
    </w:p>
    <w:p w:rsidR="00ED0E89" w:rsidRPr="00EA0FF7" w:rsidRDefault="00ED0E89" w:rsidP="00ED0E89">
      <w:pPr>
        <w:pStyle w:val="Heading5"/>
        <w:rPr>
          <w:lang w:val="en-CA"/>
        </w:rPr>
      </w:pPr>
      <w:r w:rsidRPr="00645509">
        <w:rPr>
          <w:lang w:val="en-CA"/>
        </w:rPr>
        <w:t>(2004 – 2009 – 2014)</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ook w:val="04A0" w:firstRow="1" w:lastRow="0" w:firstColumn="1" w:lastColumn="0" w:noHBand="0" w:noVBand="1"/>
      </w:tblPr>
      <w:tblGrid>
        <w:gridCol w:w="1126"/>
        <w:gridCol w:w="1276"/>
        <w:gridCol w:w="1134"/>
        <w:gridCol w:w="1559"/>
        <w:gridCol w:w="1559"/>
        <w:gridCol w:w="1559"/>
      </w:tblGrid>
      <w:tr w:rsidR="00E17D21" w:rsidRPr="00EA0FF7" w:rsidTr="00E17D21">
        <w:tc>
          <w:tcPr>
            <w:tcW w:w="1126" w:type="dxa"/>
            <w:shd w:val="clear" w:color="auto" w:fill="D9D9D9"/>
          </w:tcPr>
          <w:p w:rsidR="00ED0E89" w:rsidRPr="00E17D21" w:rsidRDefault="00ED0E89" w:rsidP="003F6C69">
            <w:pPr>
              <w:pStyle w:val="chiffres"/>
              <w:rPr>
                <w:lang w:val="en-CA"/>
              </w:rPr>
            </w:pPr>
          </w:p>
        </w:tc>
        <w:tc>
          <w:tcPr>
            <w:tcW w:w="7087" w:type="dxa"/>
            <w:gridSpan w:val="5"/>
            <w:shd w:val="clear" w:color="auto" w:fill="D9D9D9"/>
          </w:tcPr>
          <w:p w:rsidR="00ED0E89" w:rsidRPr="00E17D21" w:rsidRDefault="00ED0E89" w:rsidP="003F6C69">
            <w:pPr>
              <w:pStyle w:val="chiffres"/>
              <w:rPr>
                <w:lang w:val="en-CA"/>
              </w:rPr>
            </w:pPr>
            <w:r w:rsidRPr="00E17D21">
              <w:rPr>
                <w:lang w:val="en-CA"/>
              </w:rPr>
              <w:t>% of respondents</w:t>
            </w:r>
          </w:p>
        </w:tc>
      </w:tr>
      <w:tr w:rsidR="00E17D21" w:rsidRPr="00EA0FF7" w:rsidTr="00E17D21">
        <w:tc>
          <w:tcPr>
            <w:tcW w:w="1126" w:type="dxa"/>
            <w:shd w:val="clear" w:color="auto" w:fill="D9D9D9"/>
          </w:tcPr>
          <w:p w:rsidR="00ED0E89" w:rsidRPr="00E17D21" w:rsidRDefault="00ED0E89" w:rsidP="003F6C69">
            <w:pPr>
              <w:pStyle w:val="chiffres"/>
              <w:rPr>
                <w:lang w:val="en-CA"/>
              </w:rPr>
            </w:pPr>
            <w:r w:rsidRPr="00E17D21">
              <w:rPr>
                <w:lang w:val="en-CA"/>
              </w:rPr>
              <w:t>Weekly hours</w:t>
            </w:r>
          </w:p>
        </w:tc>
        <w:tc>
          <w:tcPr>
            <w:tcW w:w="1276" w:type="dxa"/>
            <w:shd w:val="clear" w:color="auto" w:fill="D9D9D9"/>
          </w:tcPr>
          <w:p w:rsidR="00ED0E89" w:rsidRPr="00E17D21" w:rsidRDefault="00ED0E89" w:rsidP="003F6C69">
            <w:pPr>
              <w:pStyle w:val="chiffres"/>
              <w:rPr>
                <w:lang w:val="en-CA"/>
              </w:rPr>
            </w:pPr>
            <w:r w:rsidRPr="00E17D21">
              <w:rPr>
                <w:lang w:val="en-CA"/>
              </w:rPr>
              <w:t>2004</w:t>
            </w:r>
          </w:p>
        </w:tc>
        <w:tc>
          <w:tcPr>
            <w:tcW w:w="1134" w:type="dxa"/>
            <w:shd w:val="clear" w:color="auto" w:fill="D9D9D9"/>
          </w:tcPr>
          <w:p w:rsidR="00ED0E89" w:rsidRPr="00E17D21" w:rsidRDefault="00ED0E89" w:rsidP="003F6C69">
            <w:pPr>
              <w:pStyle w:val="chiffres"/>
              <w:rPr>
                <w:lang w:val="en-CA"/>
              </w:rPr>
            </w:pPr>
            <w:r w:rsidRPr="00E17D21">
              <w:rPr>
                <w:lang w:val="en-CA"/>
              </w:rPr>
              <w:t>2009</w:t>
            </w:r>
          </w:p>
        </w:tc>
        <w:tc>
          <w:tcPr>
            <w:tcW w:w="1559" w:type="dxa"/>
            <w:shd w:val="clear" w:color="auto" w:fill="D9D9D9"/>
          </w:tcPr>
          <w:p w:rsidR="00ED0E89" w:rsidRPr="00E17D21" w:rsidRDefault="00ED0E89" w:rsidP="003F6C69">
            <w:pPr>
              <w:pStyle w:val="chiffres"/>
              <w:rPr>
                <w:lang w:val="en-CA"/>
              </w:rPr>
            </w:pPr>
            <w:r w:rsidRPr="00E17D21">
              <w:rPr>
                <w:lang w:val="en-CA"/>
              </w:rPr>
              <w:t>2009 (aggregated)</w:t>
            </w:r>
          </w:p>
        </w:tc>
        <w:tc>
          <w:tcPr>
            <w:tcW w:w="1559" w:type="dxa"/>
            <w:shd w:val="clear" w:color="auto" w:fill="D9D9D9"/>
          </w:tcPr>
          <w:p w:rsidR="00ED0E89" w:rsidRPr="00E17D21" w:rsidRDefault="00ED0E89" w:rsidP="003F6C69">
            <w:pPr>
              <w:pStyle w:val="chiffres"/>
              <w:rPr>
                <w:lang w:val="en-CA"/>
              </w:rPr>
            </w:pPr>
            <w:r w:rsidRPr="00E17D21">
              <w:rPr>
                <w:lang w:val="en-CA"/>
              </w:rPr>
              <w:t>2014</w:t>
            </w:r>
          </w:p>
        </w:tc>
        <w:tc>
          <w:tcPr>
            <w:tcW w:w="1559" w:type="dxa"/>
            <w:shd w:val="clear" w:color="auto" w:fill="D9D9D9"/>
          </w:tcPr>
          <w:p w:rsidR="00ED0E89" w:rsidRPr="00E17D21" w:rsidRDefault="00ED0E89" w:rsidP="003F6C69">
            <w:pPr>
              <w:pStyle w:val="chiffres"/>
              <w:rPr>
                <w:lang w:val="en-CA"/>
              </w:rPr>
            </w:pPr>
            <w:r w:rsidRPr="00E17D21">
              <w:rPr>
                <w:lang w:val="en-CA"/>
              </w:rPr>
              <w:t>2014 (aggregated)</w:t>
            </w:r>
          </w:p>
        </w:tc>
      </w:tr>
      <w:tr w:rsidR="00E17D21" w:rsidRPr="00EA0FF7" w:rsidTr="00E17D21">
        <w:tc>
          <w:tcPr>
            <w:tcW w:w="1126" w:type="dxa"/>
            <w:shd w:val="clear" w:color="auto" w:fill="D9D9D9"/>
          </w:tcPr>
          <w:p w:rsidR="00ED0E89" w:rsidRPr="00EA0FF7" w:rsidRDefault="00ED0E89" w:rsidP="003F6C69">
            <w:pPr>
              <w:pStyle w:val="chiffres2"/>
            </w:pPr>
            <w:r w:rsidRPr="00EA0FF7">
              <w:t>0-20</w:t>
            </w:r>
          </w:p>
        </w:tc>
        <w:tc>
          <w:tcPr>
            <w:tcW w:w="1276" w:type="dxa"/>
            <w:vMerge w:val="restart"/>
            <w:shd w:val="clear" w:color="auto" w:fill="D9D9D9"/>
          </w:tcPr>
          <w:p w:rsidR="00ED0E89" w:rsidRPr="00EA0FF7" w:rsidRDefault="00ED0E89" w:rsidP="00C97251">
            <w:pPr>
              <w:pStyle w:val="chiffres2"/>
              <w:jc w:val="center"/>
            </w:pPr>
            <w:r>
              <w:t>1</w:t>
            </w:r>
          </w:p>
        </w:tc>
        <w:tc>
          <w:tcPr>
            <w:tcW w:w="1134" w:type="dxa"/>
            <w:shd w:val="clear" w:color="auto" w:fill="D9D9D9"/>
          </w:tcPr>
          <w:p w:rsidR="00ED0E89" w:rsidRPr="00EA0FF7" w:rsidRDefault="00ED0E89" w:rsidP="00C97251">
            <w:pPr>
              <w:pStyle w:val="chiffres2"/>
              <w:jc w:val="center"/>
            </w:pPr>
            <w:r>
              <w:t>2</w:t>
            </w:r>
          </w:p>
        </w:tc>
        <w:tc>
          <w:tcPr>
            <w:tcW w:w="1559" w:type="dxa"/>
            <w:vMerge w:val="restart"/>
            <w:shd w:val="clear" w:color="auto" w:fill="D9D9D9"/>
          </w:tcPr>
          <w:p w:rsidR="00ED0E89" w:rsidRPr="00EA0FF7" w:rsidRDefault="00ED0E89" w:rsidP="00C97251">
            <w:pPr>
              <w:pStyle w:val="chiffres2"/>
              <w:jc w:val="center"/>
            </w:pPr>
            <w:r>
              <w:t>3</w:t>
            </w:r>
          </w:p>
        </w:tc>
        <w:tc>
          <w:tcPr>
            <w:tcW w:w="1559" w:type="dxa"/>
            <w:shd w:val="clear" w:color="auto" w:fill="D9D9D9"/>
          </w:tcPr>
          <w:p w:rsidR="00ED0E89" w:rsidRPr="00EA0FF7" w:rsidRDefault="00ED0E89" w:rsidP="00C97251">
            <w:pPr>
              <w:pStyle w:val="chiffres2"/>
              <w:jc w:val="center"/>
            </w:pPr>
            <w:r>
              <w:t>2</w:t>
            </w:r>
          </w:p>
        </w:tc>
        <w:tc>
          <w:tcPr>
            <w:tcW w:w="1559" w:type="dxa"/>
            <w:vMerge w:val="restart"/>
            <w:shd w:val="clear" w:color="auto" w:fill="D9D9D9"/>
          </w:tcPr>
          <w:p w:rsidR="00ED0E89" w:rsidRPr="00EA0FF7" w:rsidRDefault="00ED0E89" w:rsidP="00C97251">
            <w:pPr>
              <w:pStyle w:val="chiffres2"/>
              <w:jc w:val="center"/>
            </w:pPr>
            <w:r>
              <w:t>9</w:t>
            </w:r>
          </w:p>
        </w:tc>
      </w:tr>
      <w:tr w:rsidR="00E17D21" w:rsidRPr="00EA0FF7" w:rsidTr="00E17D21">
        <w:tc>
          <w:tcPr>
            <w:tcW w:w="1126" w:type="dxa"/>
            <w:shd w:val="clear" w:color="auto" w:fill="D9D9D9"/>
          </w:tcPr>
          <w:p w:rsidR="00ED0E89" w:rsidRPr="00EA0FF7" w:rsidRDefault="00ED0E89" w:rsidP="003F6C69">
            <w:pPr>
              <w:pStyle w:val="chiffres2"/>
            </w:pPr>
            <w:r w:rsidRPr="00EA0FF7">
              <w:t>20-24</w:t>
            </w:r>
          </w:p>
        </w:tc>
        <w:tc>
          <w:tcPr>
            <w:tcW w:w="1276" w:type="dxa"/>
            <w:vMerge/>
            <w:shd w:val="clear" w:color="auto" w:fill="D9D9D9"/>
          </w:tcPr>
          <w:p w:rsidR="00ED0E89" w:rsidRPr="00EA0FF7" w:rsidRDefault="00ED0E89" w:rsidP="00C97251">
            <w:pPr>
              <w:pStyle w:val="chiffres2"/>
              <w:jc w:val="center"/>
            </w:pPr>
          </w:p>
        </w:tc>
        <w:tc>
          <w:tcPr>
            <w:tcW w:w="1134" w:type="dxa"/>
            <w:shd w:val="clear" w:color="auto" w:fill="D9D9D9"/>
          </w:tcPr>
          <w:p w:rsidR="00ED0E89" w:rsidRPr="00EA0FF7" w:rsidRDefault="00ED0E89" w:rsidP="00C97251">
            <w:pPr>
              <w:pStyle w:val="chiffres2"/>
              <w:jc w:val="center"/>
            </w:pPr>
            <w:r>
              <w:t>0</w:t>
            </w:r>
          </w:p>
        </w:tc>
        <w:tc>
          <w:tcPr>
            <w:tcW w:w="1559" w:type="dxa"/>
            <w:vMerge/>
            <w:shd w:val="clear" w:color="auto" w:fill="D9D9D9"/>
          </w:tcPr>
          <w:p w:rsidR="00ED0E89" w:rsidRPr="00EA0FF7" w:rsidRDefault="00ED0E89" w:rsidP="00C97251">
            <w:pPr>
              <w:pStyle w:val="chiffres2"/>
              <w:jc w:val="center"/>
            </w:pPr>
          </w:p>
        </w:tc>
        <w:tc>
          <w:tcPr>
            <w:tcW w:w="1559" w:type="dxa"/>
            <w:shd w:val="clear" w:color="auto" w:fill="D9D9D9"/>
          </w:tcPr>
          <w:p w:rsidR="00ED0E89" w:rsidRPr="00EA0FF7" w:rsidRDefault="00ED0E89" w:rsidP="00C97251">
            <w:pPr>
              <w:pStyle w:val="chiffres2"/>
              <w:jc w:val="center"/>
            </w:pPr>
            <w:r>
              <w:t>1</w:t>
            </w:r>
          </w:p>
        </w:tc>
        <w:tc>
          <w:tcPr>
            <w:tcW w:w="1559" w:type="dxa"/>
            <w:vMerge/>
            <w:shd w:val="clear" w:color="auto" w:fill="D9D9D9"/>
          </w:tcPr>
          <w:p w:rsidR="00ED0E89" w:rsidRPr="00EA0FF7" w:rsidRDefault="00ED0E89" w:rsidP="00C97251">
            <w:pPr>
              <w:pStyle w:val="chiffres2"/>
              <w:jc w:val="center"/>
            </w:pPr>
          </w:p>
        </w:tc>
      </w:tr>
      <w:tr w:rsidR="00E17D21" w:rsidRPr="00EA0FF7" w:rsidTr="00E17D21">
        <w:tc>
          <w:tcPr>
            <w:tcW w:w="1126" w:type="dxa"/>
            <w:shd w:val="clear" w:color="auto" w:fill="D9D9D9"/>
          </w:tcPr>
          <w:p w:rsidR="00ED0E89" w:rsidRPr="00EA0FF7" w:rsidRDefault="00ED0E89" w:rsidP="003F6C69">
            <w:pPr>
              <w:pStyle w:val="chiffres2"/>
            </w:pPr>
            <w:r w:rsidRPr="00EA0FF7">
              <w:t>25-29</w:t>
            </w:r>
          </w:p>
        </w:tc>
        <w:tc>
          <w:tcPr>
            <w:tcW w:w="1276" w:type="dxa"/>
            <w:vMerge/>
            <w:shd w:val="clear" w:color="auto" w:fill="D9D9D9"/>
          </w:tcPr>
          <w:p w:rsidR="00ED0E89" w:rsidRPr="00EA0FF7" w:rsidRDefault="00ED0E89" w:rsidP="00C97251">
            <w:pPr>
              <w:pStyle w:val="chiffres2"/>
              <w:jc w:val="center"/>
            </w:pPr>
          </w:p>
        </w:tc>
        <w:tc>
          <w:tcPr>
            <w:tcW w:w="1134" w:type="dxa"/>
            <w:shd w:val="clear" w:color="auto" w:fill="D9D9D9"/>
          </w:tcPr>
          <w:p w:rsidR="00ED0E89" w:rsidRPr="00EA0FF7" w:rsidRDefault="00ED0E89" w:rsidP="00C97251">
            <w:pPr>
              <w:pStyle w:val="chiffres2"/>
              <w:jc w:val="center"/>
            </w:pPr>
            <w:r>
              <w:t>0</w:t>
            </w:r>
          </w:p>
        </w:tc>
        <w:tc>
          <w:tcPr>
            <w:tcW w:w="1559" w:type="dxa"/>
            <w:vMerge/>
            <w:shd w:val="clear" w:color="auto" w:fill="D9D9D9"/>
          </w:tcPr>
          <w:p w:rsidR="00ED0E89" w:rsidRPr="00EA0FF7" w:rsidRDefault="00ED0E89" w:rsidP="00C97251">
            <w:pPr>
              <w:pStyle w:val="chiffres2"/>
              <w:jc w:val="center"/>
            </w:pPr>
          </w:p>
        </w:tc>
        <w:tc>
          <w:tcPr>
            <w:tcW w:w="1559" w:type="dxa"/>
            <w:shd w:val="clear" w:color="auto" w:fill="D9D9D9"/>
          </w:tcPr>
          <w:p w:rsidR="00ED0E89" w:rsidRPr="00EA0FF7" w:rsidRDefault="00ED0E89" w:rsidP="00C97251">
            <w:pPr>
              <w:pStyle w:val="chiffres2"/>
              <w:jc w:val="center"/>
            </w:pPr>
            <w:r>
              <w:t>2</w:t>
            </w:r>
          </w:p>
        </w:tc>
        <w:tc>
          <w:tcPr>
            <w:tcW w:w="1559" w:type="dxa"/>
            <w:vMerge/>
            <w:shd w:val="clear" w:color="auto" w:fill="D9D9D9"/>
          </w:tcPr>
          <w:p w:rsidR="00ED0E89" w:rsidRPr="00EA0FF7" w:rsidRDefault="00ED0E89" w:rsidP="00C97251">
            <w:pPr>
              <w:pStyle w:val="chiffres2"/>
              <w:jc w:val="center"/>
            </w:pPr>
          </w:p>
        </w:tc>
      </w:tr>
      <w:tr w:rsidR="00E17D21" w:rsidRPr="00EA0FF7" w:rsidTr="00E17D21">
        <w:tc>
          <w:tcPr>
            <w:tcW w:w="1126" w:type="dxa"/>
            <w:shd w:val="clear" w:color="auto" w:fill="D9D9D9"/>
          </w:tcPr>
          <w:p w:rsidR="00ED0E89" w:rsidRPr="00EA0FF7" w:rsidRDefault="00ED0E89" w:rsidP="003F6C69">
            <w:pPr>
              <w:pStyle w:val="chiffres2"/>
            </w:pPr>
            <w:r w:rsidRPr="00EA0FF7">
              <w:t>30-34</w:t>
            </w:r>
          </w:p>
        </w:tc>
        <w:tc>
          <w:tcPr>
            <w:tcW w:w="1276" w:type="dxa"/>
            <w:vMerge/>
            <w:shd w:val="clear" w:color="auto" w:fill="D9D9D9"/>
          </w:tcPr>
          <w:p w:rsidR="00ED0E89" w:rsidRPr="00EA0FF7" w:rsidRDefault="00ED0E89" w:rsidP="00C97251">
            <w:pPr>
              <w:pStyle w:val="chiffres2"/>
              <w:jc w:val="center"/>
            </w:pPr>
          </w:p>
        </w:tc>
        <w:tc>
          <w:tcPr>
            <w:tcW w:w="1134" w:type="dxa"/>
            <w:shd w:val="clear" w:color="auto" w:fill="D9D9D9"/>
          </w:tcPr>
          <w:p w:rsidR="00ED0E89" w:rsidRPr="00EA0FF7" w:rsidRDefault="00ED0E89" w:rsidP="00C97251">
            <w:pPr>
              <w:pStyle w:val="chiffres2"/>
              <w:jc w:val="center"/>
            </w:pPr>
            <w:r>
              <w:t>1</w:t>
            </w:r>
          </w:p>
        </w:tc>
        <w:tc>
          <w:tcPr>
            <w:tcW w:w="1559" w:type="dxa"/>
            <w:vMerge/>
            <w:shd w:val="clear" w:color="auto" w:fill="D9D9D9"/>
          </w:tcPr>
          <w:p w:rsidR="00ED0E89" w:rsidRPr="00EA0FF7" w:rsidRDefault="00ED0E89" w:rsidP="00C97251">
            <w:pPr>
              <w:pStyle w:val="chiffres2"/>
              <w:jc w:val="center"/>
            </w:pPr>
          </w:p>
        </w:tc>
        <w:tc>
          <w:tcPr>
            <w:tcW w:w="1559" w:type="dxa"/>
            <w:shd w:val="clear" w:color="auto" w:fill="D9D9D9"/>
          </w:tcPr>
          <w:p w:rsidR="00ED0E89" w:rsidRPr="00EA0FF7" w:rsidRDefault="00ED0E89" w:rsidP="00C97251">
            <w:pPr>
              <w:pStyle w:val="chiffres2"/>
              <w:jc w:val="center"/>
            </w:pPr>
            <w:r>
              <w:t>4</w:t>
            </w:r>
          </w:p>
        </w:tc>
        <w:tc>
          <w:tcPr>
            <w:tcW w:w="1559" w:type="dxa"/>
            <w:vMerge/>
            <w:shd w:val="clear" w:color="auto" w:fill="D9D9D9"/>
          </w:tcPr>
          <w:p w:rsidR="00ED0E89" w:rsidRPr="00EA0FF7" w:rsidRDefault="00ED0E89" w:rsidP="00C97251">
            <w:pPr>
              <w:pStyle w:val="chiffres2"/>
              <w:jc w:val="center"/>
            </w:pPr>
          </w:p>
        </w:tc>
      </w:tr>
      <w:tr w:rsidR="00E17D21" w:rsidRPr="00EA0FF7" w:rsidTr="00E17D21">
        <w:tc>
          <w:tcPr>
            <w:tcW w:w="1126" w:type="dxa"/>
            <w:shd w:val="clear" w:color="auto" w:fill="D9D9D9"/>
          </w:tcPr>
          <w:p w:rsidR="00ED0E89" w:rsidRPr="00E17D21" w:rsidRDefault="00ED0E89" w:rsidP="003F6C69">
            <w:pPr>
              <w:pStyle w:val="chiffres2"/>
              <w:rPr>
                <w:highlight w:val="yellow"/>
              </w:rPr>
            </w:pPr>
            <w:r w:rsidRPr="00EA0FF7">
              <w:t>35-39</w:t>
            </w:r>
          </w:p>
        </w:tc>
        <w:tc>
          <w:tcPr>
            <w:tcW w:w="1276" w:type="dxa"/>
            <w:vMerge w:val="restart"/>
            <w:shd w:val="clear" w:color="auto" w:fill="D9D9D9"/>
          </w:tcPr>
          <w:p w:rsidR="00ED0E89" w:rsidRPr="00EA0FF7" w:rsidRDefault="00ED0E89" w:rsidP="00C97251">
            <w:pPr>
              <w:pStyle w:val="chiffres2"/>
              <w:jc w:val="center"/>
            </w:pPr>
            <w:r>
              <w:t>39</w:t>
            </w:r>
          </w:p>
        </w:tc>
        <w:tc>
          <w:tcPr>
            <w:tcW w:w="1134" w:type="dxa"/>
            <w:shd w:val="clear" w:color="auto" w:fill="D9D9D9"/>
          </w:tcPr>
          <w:p w:rsidR="00ED0E89" w:rsidRPr="00EA0FF7" w:rsidRDefault="00ED0E89" w:rsidP="00C97251">
            <w:pPr>
              <w:pStyle w:val="chiffres2"/>
              <w:jc w:val="center"/>
            </w:pPr>
            <w:r>
              <w:t>6</w:t>
            </w:r>
          </w:p>
        </w:tc>
        <w:tc>
          <w:tcPr>
            <w:tcW w:w="1559" w:type="dxa"/>
            <w:vMerge w:val="restart"/>
            <w:shd w:val="clear" w:color="auto" w:fill="D9D9D9"/>
          </w:tcPr>
          <w:p w:rsidR="00ED0E89" w:rsidRPr="00EA0FF7" w:rsidRDefault="00ED0E89" w:rsidP="00C97251">
            <w:pPr>
              <w:pStyle w:val="chiffres2"/>
              <w:jc w:val="center"/>
            </w:pPr>
            <w:r>
              <w:t>56</w:t>
            </w:r>
          </w:p>
        </w:tc>
        <w:tc>
          <w:tcPr>
            <w:tcW w:w="1559" w:type="dxa"/>
            <w:shd w:val="clear" w:color="auto" w:fill="D9D9D9"/>
          </w:tcPr>
          <w:p w:rsidR="00ED0E89" w:rsidRPr="00EA0FF7" w:rsidRDefault="00ED0E89" w:rsidP="00C97251">
            <w:pPr>
              <w:pStyle w:val="chiffres2"/>
              <w:jc w:val="center"/>
            </w:pPr>
            <w:r>
              <w:t>14</w:t>
            </w:r>
          </w:p>
        </w:tc>
        <w:tc>
          <w:tcPr>
            <w:tcW w:w="1559" w:type="dxa"/>
            <w:vMerge w:val="restart"/>
            <w:shd w:val="clear" w:color="auto" w:fill="D9D9D9"/>
          </w:tcPr>
          <w:p w:rsidR="00ED0E89" w:rsidRPr="00EA0FF7" w:rsidRDefault="00ED0E89" w:rsidP="00C97251">
            <w:pPr>
              <w:pStyle w:val="chiffres2"/>
              <w:jc w:val="center"/>
            </w:pPr>
            <w:r>
              <w:t>57</w:t>
            </w:r>
          </w:p>
        </w:tc>
      </w:tr>
      <w:tr w:rsidR="00E17D21" w:rsidRPr="00EA0FF7" w:rsidTr="00E17D21">
        <w:tc>
          <w:tcPr>
            <w:tcW w:w="1126" w:type="dxa"/>
            <w:shd w:val="clear" w:color="auto" w:fill="FFFF00"/>
          </w:tcPr>
          <w:p w:rsidR="00ED0E89" w:rsidRPr="00E17D21" w:rsidRDefault="00ED0E89" w:rsidP="003F6C69">
            <w:pPr>
              <w:pStyle w:val="chiffres2"/>
              <w:rPr>
                <w:highlight w:val="yellow"/>
              </w:rPr>
            </w:pPr>
            <w:r w:rsidRPr="00BB6E7B">
              <w:t>40-44</w:t>
            </w:r>
          </w:p>
        </w:tc>
        <w:tc>
          <w:tcPr>
            <w:tcW w:w="1276" w:type="dxa"/>
            <w:vMerge/>
            <w:shd w:val="clear" w:color="auto" w:fill="FFFF00"/>
          </w:tcPr>
          <w:p w:rsidR="00ED0E89" w:rsidRPr="00EA0FF7" w:rsidRDefault="00ED0E89" w:rsidP="00C97251">
            <w:pPr>
              <w:pStyle w:val="chiffres2"/>
              <w:jc w:val="center"/>
            </w:pPr>
          </w:p>
        </w:tc>
        <w:tc>
          <w:tcPr>
            <w:tcW w:w="1134" w:type="dxa"/>
            <w:shd w:val="clear" w:color="auto" w:fill="FFFF00"/>
          </w:tcPr>
          <w:p w:rsidR="00ED0E89" w:rsidRPr="00EA0FF7" w:rsidRDefault="00ED0E89" w:rsidP="00C97251">
            <w:pPr>
              <w:pStyle w:val="chiffres2"/>
              <w:jc w:val="center"/>
            </w:pPr>
            <w:r>
              <w:t>50</w:t>
            </w:r>
          </w:p>
        </w:tc>
        <w:tc>
          <w:tcPr>
            <w:tcW w:w="1559" w:type="dxa"/>
            <w:vMerge/>
            <w:shd w:val="clear" w:color="auto" w:fill="FFFF00"/>
          </w:tcPr>
          <w:p w:rsidR="00ED0E89" w:rsidRPr="00E17D21" w:rsidRDefault="00ED0E89" w:rsidP="00C97251">
            <w:pPr>
              <w:pStyle w:val="chiffres2"/>
              <w:jc w:val="center"/>
              <w:rPr>
                <w:highlight w:val="yellow"/>
              </w:rPr>
            </w:pPr>
          </w:p>
        </w:tc>
        <w:tc>
          <w:tcPr>
            <w:tcW w:w="1559" w:type="dxa"/>
            <w:shd w:val="clear" w:color="auto" w:fill="FFFF00"/>
          </w:tcPr>
          <w:p w:rsidR="00ED0E89" w:rsidRPr="00EA0FF7" w:rsidRDefault="00ED0E89" w:rsidP="00C97251">
            <w:pPr>
              <w:pStyle w:val="chiffres2"/>
              <w:jc w:val="center"/>
            </w:pPr>
            <w:r>
              <w:t>43</w:t>
            </w:r>
          </w:p>
        </w:tc>
        <w:tc>
          <w:tcPr>
            <w:tcW w:w="1559" w:type="dxa"/>
            <w:vMerge/>
            <w:shd w:val="clear" w:color="auto" w:fill="D9D9D9"/>
          </w:tcPr>
          <w:p w:rsidR="00ED0E89" w:rsidRPr="00E17D21" w:rsidRDefault="00ED0E89" w:rsidP="00C97251">
            <w:pPr>
              <w:pStyle w:val="chiffres2"/>
              <w:jc w:val="center"/>
              <w:rPr>
                <w:highlight w:val="yellow"/>
              </w:rPr>
            </w:pPr>
          </w:p>
        </w:tc>
      </w:tr>
      <w:tr w:rsidR="00E17D21" w:rsidRPr="00EA0FF7" w:rsidTr="00E17D21">
        <w:tc>
          <w:tcPr>
            <w:tcW w:w="1126" w:type="dxa"/>
            <w:shd w:val="clear" w:color="auto" w:fill="FFFF00"/>
          </w:tcPr>
          <w:p w:rsidR="00ED0E89" w:rsidRPr="00E17D21" w:rsidRDefault="00ED0E89" w:rsidP="003F6C69">
            <w:pPr>
              <w:pStyle w:val="chiffres2"/>
              <w:rPr>
                <w:highlight w:val="yellow"/>
              </w:rPr>
            </w:pPr>
            <w:r w:rsidRPr="00BB6E7B">
              <w:t>45-49</w:t>
            </w:r>
          </w:p>
        </w:tc>
        <w:tc>
          <w:tcPr>
            <w:tcW w:w="1276" w:type="dxa"/>
            <w:vMerge w:val="restart"/>
            <w:shd w:val="clear" w:color="auto" w:fill="FFFF00"/>
          </w:tcPr>
          <w:p w:rsidR="00ED0E89" w:rsidRPr="00EA0FF7" w:rsidRDefault="00ED0E89" w:rsidP="00C97251">
            <w:pPr>
              <w:pStyle w:val="chiffres2"/>
              <w:jc w:val="center"/>
            </w:pPr>
            <w:r>
              <w:t>42</w:t>
            </w:r>
          </w:p>
        </w:tc>
        <w:tc>
          <w:tcPr>
            <w:tcW w:w="1134" w:type="dxa"/>
            <w:shd w:val="clear" w:color="auto" w:fill="FFFF00"/>
          </w:tcPr>
          <w:p w:rsidR="00ED0E89" w:rsidRPr="00EA0FF7" w:rsidRDefault="00ED0E89" w:rsidP="00C97251">
            <w:pPr>
              <w:pStyle w:val="chiffres2"/>
              <w:jc w:val="center"/>
            </w:pPr>
            <w:r>
              <w:t>21</w:t>
            </w:r>
          </w:p>
        </w:tc>
        <w:tc>
          <w:tcPr>
            <w:tcW w:w="1559" w:type="dxa"/>
            <w:vMerge w:val="restart"/>
            <w:shd w:val="clear" w:color="auto" w:fill="FFFF00"/>
          </w:tcPr>
          <w:p w:rsidR="00ED0E89" w:rsidRPr="00E17D21" w:rsidRDefault="00ED0E89" w:rsidP="00C97251">
            <w:pPr>
              <w:pStyle w:val="chiffres2"/>
              <w:jc w:val="center"/>
              <w:rPr>
                <w:highlight w:val="yellow"/>
              </w:rPr>
            </w:pPr>
            <w:r w:rsidRPr="00BB6E7B">
              <w:t>38</w:t>
            </w:r>
          </w:p>
        </w:tc>
        <w:tc>
          <w:tcPr>
            <w:tcW w:w="1559" w:type="dxa"/>
            <w:shd w:val="clear" w:color="auto" w:fill="FFFF00"/>
          </w:tcPr>
          <w:p w:rsidR="00ED0E89" w:rsidRPr="00EA0FF7" w:rsidRDefault="00ED0E89" w:rsidP="00C97251">
            <w:pPr>
              <w:pStyle w:val="chiffres2"/>
              <w:jc w:val="center"/>
            </w:pPr>
            <w:r>
              <w:t>21</w:t>
            </w:r>
          </w:p>
        </w:tc>
        <w:tc>
          <w:tcPr>
            <w:tcW w:w="1559" w:type="dxa"/>
            <w:vMerge w:val="restart"/>
            <w:shd w:val="clear" w:color="auto" w:fill="FFFF00"/>
          </w:tcPr>
          <w:p w:rsidR="00ED0E89" w:rsidRPr="00E17D21" w:rsidRDefault="00ED0E89" w:rsidP="00C97251">
            <w:pPr>
              <w:pStyle w:val="chiffres2"/>
              <w:jc w:val="center"/>
              <w:rPr>
                <w:highlight w:val="yellow"/>
              </w:rPr>
            </w:pPr>
            <w:r w:rsidRPr="00BB6E7B">
              <w:t>29</w:t>
            </w:r>
          </w:p>
        </w:tc>
      </w:tr>
      <w:tr w:rsidR="00E17D21" w:rsidRPr="00EA0FF7" w:rsidTr="00E17D21">
        <w:tc>
          <w:tcPr>
            <w:tcW w:w="1126" w:type="dxa"/>
            <w:shd w:val="clear" w:color="auto" w:fill="FFFF00"/>
          </w:tcPr>
          <w:p w:rsidR="00ED0E89" w:rsidRPr="00EA0FF7" w:rsidRDefault="00ED0E89" w:rsidP="003F6C69">
            <w:pPr>
              <w:pStyle w:val="chiffres2"/>
            </w:pPr>
            <w:r w:rsidRPr="00BB6E7B">
              <w:t>50-59</w:t>
            </w:r>
          </w:p>
        </w:tc>
        <w:tc>
          <w:tcPr>
            <w:tcW w:w="1276" w:type="dxa"/>
            <w:vMerge/>
            <w:shd w:val="clear" w:color="auto" w:fill="FFFF00"/>
          </w:tcPr>
          <w:p w:rsidR="00ED0E89" w:rsidRPr="00EA0FF7" w:rsidRDefault="00ED0E89" w:rsidP="00C97251">
            <w:pPr>
              <w:pStyle w:val="chiffres2"/>
              <w:jc w:val="center"/>
            </w:pPr>
          </w:p>
        </w:tc>
        <w:tc>
          <w:tcPr>
            <w:tcW w:w="1134" w:type="dxa"/>
            <w:shd w:val="clear" w:color="auto" w:fill="FFFF00"/>
          </w:tcPr>
          <w:p w:rsidR="00ED0E89" w:rsidRPr="00EA0FF7" w:rsidRDefault="00ED0E89" w:rsidP="00C97251">
            <w:pPr>
              <w:pStyle w:val="chiffres2"/>
              <w:jc w:val="center"/>
            </w:pPr>
            <w:r>
              <w:t>17</w:t>
            </w:r>
          </w:p>
        </w:tc>
        <w:tc>
          <w:tcPr>
            <w:tcW w:w="1559" w:type="dxa"/>
            <w:vMerge/>
            <w:shd w:val="clear" w:color="auto" w:fill="FFFF00"/>
          </w:tcPr>
          <w:p w:rsidR="00ED0E89" w:rsidRPr="00E17D21" w:rsidRDefault="00ED0E89" w:rsidP="00C97251">
            <w:pPr>
              <w:pStyle w:val="chiffres2"/>
              <w:jc w:val="center"/>
              <w:rPr>
                <w:highlight w:val="yellow"/>
              </w:rPr>
            </w:pPr>
          </w:p>
        </w:tc>
        <w:tc>
          <w:tcPr>
            <w:tcW w:w="1559" w:type="dxa"/>
            <w:shd w:val="clear" w:color="auto" w:fill="FFFF00"/>
          </w:tcPr>
          <w:p w:rsidR="00ED0E89" w:rsidRPr="00EA0FF7" w:rsidRDefault="00ED0E89" w:rsidP="00C97251">
            <w:pPr>
              <w:pStyle w:val="chiffres2"/>
              <w:jc w:val="center"/>
            </w:pPr>
            <w:r>
              <w:t>8</w:t>
            </w:r>
          </w:p>
        </w:tc>
        <w:tc>
          <w:tcPr>
            <w:tcW w:w="1559" w:type="dxa"/>
            <w:vMerge/>
            <w:shd w:val="clear" w:color="auto" w:fill="FFFF00"/>
          </w:tcPr>
          <w:p w:rsidR="00ED0E89" w:rsidRPr="00E17D21" w:rsidRDefault="00ED0E89" w:rsidP="00C97251">
            <w:pPr>
              <w:pStyle w:val="chiffres2"/>
              <w:jc w:val="center"/>
              <w:rPr>
                <w:highlight w:val="yellow"/>
              </w:rPr>
            </w:pPr>
          </w:p>
        </w:tc>
      </w:tr>
      <w:tr w:rsidR="00E17D21" w:rsidRPr="00EA0FF7" w:rsidTr="00E17D21">
        <w:tc>
          <w:tcPr>
            <w:tcW w:w="1126" w:type="dxa"/>
            <w:shd w:val="clear" w:color="auto" w:fill="D9D9D9"/>
          </w:tcPr>
          <w:p w:rsidR="00ED0E89" w:rsidRPr="00EA0FF7" w:rsidRDefault="00ED0E89" w:rsidP="003F6C69">
            <w:pPr>
              <w:pStyle w:val="chiffres2"/>
            </w:pPr>
            <w:r w:rsidRPr="00EA0FF7">
              <w:t>60-69</w:t>
            </w:r>
          </w:p>
        </w:tc>
        <w:tc>
          <w:tcPr>
            <w:tcW w:w="1276" w:type="dxa"/>
            <w:vMerge w:val="restart"/>
            <w:shd w:val="clear" w:color="auto" w:fill="D9D9D9"/>
          </w:tcPr>
          <w:p w:rsidR="00ED0E89" w:rsidRPr="00EA0FF7" w:rsidRDefault="00ED0E89" w:rsidP="00C97251">
            <w:pPr>
              <w:pStyle w:val="chiffres2"/>
              <w:jc w:val="center"/>
            </w:pPr>
            <w:r>
              <w:t>19</w:t>
            </w:r>
          </w:p>
        </w:tc>
        <w:tc>
          <w:tcPr>
            <w:tcW w:w="1134" w:type="dxa"/>
            <w:shd w:val="clear" w:color="auto" w:fill="D9D9D9"/>
          </w:tcPr>
          <w:p w:rsidR="00ED0E89" w:rsidRPr="00EA0FF7" w:rsidRDefault="00ED0E89" w:rsidP="00C97251">
            <w:pPr>
              <w:pStyle w:val="chiffres2"/>
              <w:jc w:val="center"/>
            </w:pPr>
            <w:r>
              <w:t>2</w:t>
            </w:r>
          </w:p>
        </w:tc>
        <w:tc>
          <w:tcPr>
            <w:tcW w:w="1559" w:type="dxa"/>
            <w:vMerge w:val="restart"/>
            <w:shd w:val="clear" w:color="auto" w:fill="D9D9D9"/>
          </w:tcPr>
          <w:p w:rsidR="00ED0E89" w:rsidRPr="00EA0FF7" w:rsidRDefault="00ED0E89" w:rsidP="00C97251">
            <w:pPr>
              <w:pStyle w:val="chiffres2"/>
              <w:jc w:val="center"/>
            </w:pPr>
            <w:r>
              <w:t>3</w:t>
            </w:r>
          </w:p>
        </w:tc>
        <w:tc>
          <w:tcPr>
            <w:tcW w:w="1559" w:type="dxa"/>
            <w:shd w:val="clear" w:color="auto" w:fill="D9D9D9"/>
          </w:tcPr>
          <w:p w:rsidR="00ED0E89" w:rsidRPr="00EA0FF7" w:rsidRDefault="00ED0E89" w:rsidP="00C97251">
            <w:pPr>
              <w:pStyle w:val="chiffres2"/>
              <w:jc w:val="center"/>
            </w:pPr>
            <w:r>
              <w:t>2</w:t>
            </w:r>
          </w:p>
        </w:tc>
        <w:tc>
          <w:tcPr>
            <w:tcW w:w="1559" w:type="dxa"/>
            <w:vMerge w:val="restart"/>
            <w:shd w:val="clear" w:color="auto" w:fill="D9D9D9"/>
          </w:tcPr>
          <w:p w:rsidR="00ED0E89" w:rsidRPr="00EA0FF7" w:rsidRDefault="00ED0E89" w:rsidP="00C97251">
            <w:pPr>
              <w:pStyle w:val="chiffres2"/>
              <w:jc w:val="center"/>
            </w:pPr>
            <w:r>
              <w:t>5</w:t>
            </w:r>
          </w:p>
        </w:tc>
      </w:tr>
      <w:tr w:rsidR="00E17D21" w:rsidRPr="00EA0FF7" w:rsidTr="00E17D21">
        <w:tc>
          <w:tcPr>
            <w:tcW w:w="1126" w:type="dxa"/>
            <w:shd w:val="clear" w:color="auto" w:fill="D9D9D9"/>
          </w:tcPr>
          <w:p w:rsidR="00ED0E89" w:rsidRPr="00EA0FF7" w:rsidRDefault="00ED0E89" w:rsidP="003F6C69">
            <w:pPr>
              <w:pStyle w:val="chiffres2"/>
            </w:pPr>
            <w:r w:rsidRPr="00EA0FF7">
              <w:t>70-79</w:t>
            </w:r>
          </w:p>
        </w:tc>
        <w:tc>
          <w:tcPr>
            <w:tcW w:w="1276" w:type="dxa"/>
            <w:vMerge/>
            <w:shd w:val="clear" w:color="auto" w:fill="D9D9D9"/>
          </w:tcPr>
          <w:p w:rsidR="00ED0E89" w:rsidRPr="00EA0FF7" w:rsidRDefault="00ED0E89" w:rsidP="00C97251">
            <w:pPr>
              <w:pStyle w:val="chiffres2"/>
              <w:jc w:val="center"/>
            </w:pPr>
          </w:p>
        </w:tc>
        <w:tc>
          <w:tcPr>
            <w:tcW w:w="1134" w:type="dxa"/>
            <w:shd w:val="clear" w:color="auto" w:fill="D9D9D9"/>
          </w:tcPr>
          <w:p w:rsidR="00ED0E89" w:rsidRPr="00EA0FF7" w:rsidRDefault="00ED0E89" w:rsidP="00C97251">
            <w:pPr>
              <w:pStyle w:val="chiffres2"/>
              <w:jc w:val="center"/>
            </w:pPr>
            <w:r>
              <w:t>1</w:t>
            </w:r>
          </w:p>
        </w:tc>
        <w:tc>
          <w:tcPr>
            <w:tcW w:w="1559" w:type="dxa"/>
            <w:vMerge/>
            <w:shd w:val="clear" w:color="auto" w:fill="D9D9D9"/>
          </w:tcPr>
          <w:p w:rsidR="00ED0E89" w:rsidRPr="00EA0FF7" w:rsidRDefault="00ED0E89" w:rsidP="00C97251">
            <w:pPr>
              <w:pStyle w:val="chiffres2"/>
              <w:jc w:val="center"/>
            </w:pPr>
          </w:p>
        </w:tc>
        <w:tc>
          <w:tcPr>
            <w:tcW w:w="1559" w:type="dxa"/>
            <w:shd w:val="clear" w:color="auto" w:fill="D9D9D9"/>
          </w:tcPr>
          <w:p w:rsidR="00ED0E89" w:rsidRPr="00EA0FF7" w:rsidRDefault="00ED0E89" w:rsidP="00C97251">
            <w:pPr>
              <w:pStyle w:val="chiffres2"/>
              <w:jc w:val="center"/>
            </w:pPr>
            <w:r>
              <w:t>0</w:t>
            </w:r>
          </w:p>
        </w:tc>
        <w:tc>
          <w:tcPr>
            <w:tcW w:w="1559" w:type="dxa"/>
            <w:vMerge/>
            <w:shd w:val="clear" w:color="auto" w:fill="D9D9D9"/>
          </w:tcPr>
          <w:p w:rsidR="00ED0E89" w:rsidRPr="00EA0FF7" w:rsidRDefault="00ED0E89" w:rsidP="003F6C69">
            <w:pPr>
              <w:pStyle w:val="chiffres2"/>
            </w:pPr>
          </w:p>
        </w:tc>
      </w:tr>
      <w:tr w:rsidR="00E17D21" w:rsidRPr="00EA0FF7" w:rsidTr="00E17D21">
        <w:trPr>
          <w:trHeight w:val="513"/>
        </w:trPr>
        <w:tc>
          <w:tcPr>
            <w:tcW w:w="1126" w:type="dxa"/>
            <w:shd w:val="clear" w:color="auto" w:fill="D9D9D9"/>
          </w:tcPr>
          <w:p w:rsidR="00ED0E89" w:rsidRPr="00EA0FF7" w:rsidRDefault="00ED0E89" w:rsidP="003F6C69">
            <w:pPr>
              <w:pStyle w:val="chiffres2"/>
            </w:pPr>
            <w:r w:rsidRPr="00EA0FF7">
              <w:t>80+</w:t>
            </w:r>
          </w:p>
        </w:tc>
        <w:tc>
          <w:tcPr>
            <w:tcW w:w="1276" w:type="dxa"/>
            <w:vMerge/>
            <w:shd w:val="clear" w:color="auto" w:fill="D9D9D9"/>
          </w:tcPr>
          <w:p w:rsidR="00ED0E89" w:rsidRPr="00EA0FF7" w:rsidRDefault="00ED0E89" w:rsidP="00C97251">
            <w:pPr>
              <w:pStyle w:val="chiffres2"/>
              <w:jc w:val="center"/>
            </w:pPr>
          </w:p>
        </w:tc>
        <w:tc>
          <w:tcPr>
            <w:tcW w:w="1134" w:type="dxa"/>
            <w:shd w:val="clear" w:color="auto" w:fill="D9D9D9"/>
          </w:tcPr>
          <w:p w:rsidR="00ED0E89" w:rsidRPr="00EA0FF7" w:rsidRDefault="00ED0E89" w:rsidP="00C97251">
            <w:pPr>
              <w:pStyle w:val="chiffres2"/>
              <w:jc w:val="center"/>
            </w:pPr>
            <w:r>
              <w:t>0</w:t>
            </w:r>
          </w:p>
        </w:tc>
        <w:tc>
          <w:tcPr>
            <w:tcW w:w="1559" w:type="dxa"/>
            <w:vMerge/>
            <w:shd w:val="clear" w:color="auto" w:fill="D9D9D9"/>
          </w:tcPr>
          <w:p w:rsidR="00ED0E89" w:rsidRPr="00EA0FF7" w:rsidRDefault="00ED0E89" w:rsidP="00C97251">
            <w:pPr>
              <w:pStyle w:val="chiffres2"/>
              <w:jc w:val="center"/>
            </w:pPr>
          </w:p>
        </w:tc>
        <w:tc>
          <w:tcPr>
            <w:tcW w:w="1559" w:type="dxa"/>
            <w:shd w:val="clear" w:color="auto" w:fill="D9D9D9"/>
          </w:tcPr>
          <w:p w:rsidR="00ED0E89" w:rsidRPr="00EA0FF7" w:rsidRDefault="00ED0E89" w:rsidP="00C97251">
            <w:pPr>
              <w:pStyle w:val="chiffres2"/>
              <w:jc w:val="center"/>
            </w:pPr>
            <w:r>
              <w:t>3</w:t>
            </w:r>
          </w:p>
        </w:tc>
        <w:tc>
          <w:tcPr>
            <w:tcW w:w="1559" w:type="dxa"/>
            <w:vMerge/>
            <w:shd w:val="clear" w:color="auto" w:fill="D9D9D9"/>
          </w:tcPr>
          <w:p w:rsidR="00ED0E89" w:rsidRPr="00EA0FF7" w:rsidRDefault="00ED0E89" w:rsidP="003F6C69">
            <w:pPr>
              <w:pStyle w:val="chiffres2"/>
            </w:pPr>
          </w:p>
        </w:tc>
      </w:tr>
    </w:tbl>
    <w:p w:rsidR="00C97251" w:rsidRDefault="00C97251" w:rsidP="00763264">
      <w:pPr>
        <w:pStyle w:val="p"/>
      </w:pPr>
    </w:p>
    <w:p w:rsidR="00ED0E89" w:rsidRPr="00ED0E89" w:rsidRDefault="00D97B1A" w:rsidP="00763264">
      <w:pPr>
        <w:pStyle w:val="p"/>
      </w:pPr>
      <w:r>
        <w:t>Chart </w:t>
      </w:r>
      <w:r w:rsidR="00C97251">
        <w:t xml:space="preserve">1 below </w:t>
      </w:r>
      <w:r w:rsidR="00ED0E89" w:rsidRPr="00ED0E89">
        <w:t xml:space="preserve">illustrates the reduction in actual hours of work in </w:t>
      </w:r>
      <w:r w:rsidR="00C97251">
        <w:t xml:space="preserve">a </w:t>
      </w:r>
      <w:r w:rsidR="00ED0E89" w:rsidRPr="00ED0E89">
        <w:t xml:space="preserve">regular schedule between 2004 and 2014. </w:t>
      </w:r>
      <w:r w:rsidR="00C97251">
        <w:t>As discussed above, it highlights a greater concentration of respondents in the shorter durations in 2009 and 2014 when compared to 2004.</w:t>
      </w:r>
    </w:p>
    <w:p w:rsidR="00645509" w:rsidRDefault="00645509">
      <w:pPr>
        <w:jc w:val="left"/>
        <w:rPr>
          <w:rFonts w:ascii="Calibri" w:hAnsi="Calibri"/>
          <w:b/>
          <w:sz w:val="20"/>
          <w:lang w:val="en-CA"/>
        </w:rPr>
      </w:pPr>
      <w:r>
        <w:rPr>
          <w:lang w:val="en-CA"/>
        </w:rPr>
        <w:br w:type="page"/>
      </w:r>
    </w:p>
    <w:p w:rsidR="00ED0E89" w:rsidRPr="00430295" w:rsidRDefault="00D97B1A" w:rsidP="00ED0E89">
      <w:pPr>
        <w:pStyle w:val="Heading5"/>
        <w:rPr>
          <w:lang w:val="en-CA"/>
        </w:rPr>
      </w:pPr>
      <w:r>
        <w:rPr>
          <w:lang w:val="en-CA"/>
        </w:rPr>
        <w:lastRenderedPageBreak/>
        <w:t>Chart </w:t>
      </w:r>
      <w:r w:rsidR="00ED0E89">
        <w:rPr>
          <w:lang w:val="en-CA"/>
        </w:rPr>
        <w:t>1</w:t>
      </w:r>
    </w:p>
    <w:p w:rsidR="006E1C92" w:rsidRDefault="00ED0E89" w:rsidP="00ED0E89">
      <w:pPr>
        <w:pStyle w:val="Heading5"/>
        <w:rPr>
          <w:lang w:val="en-CA"/>
        </w:rPr>
      </w:pPr>
      <w:r w:rsidRPr="00E02113">
        <w:rPr>
          <w:lang w:val="en-CA"/>
        </w:rPr>
        <w:t xml:space="preserve">How </w:t>
      </w:r>
      <w:r w:rsidRPr="00EA0FF7">
        <w:rPr>
          <w:lang w:val="en-CA"/>
        </w:rPr>
        <w:t xml:space="preserve">many hours per week on average do you ACTUALLY work when in REGULAR schedule? </w:t>
      </w:r>
    </w:p>
    <w:p w:rsidR="00ED0E89" w:rsidRPr="00E02113" w:rsidRDefault="00ED0E89" w:rsidP="00ED0E89">
      <w:pPr>
        <w:pStyle w:val="Heading5"/>
        <w:rPr>
          <w:lang w:val="en-CA"/>
        </w:rPr>
      </w:pPr>
      <w:r w:rsidRPr="00BA70E3">
        <w:rPr>
          <w:lang w:val="en-CA"/>
        </w:rPr>
        <w:t>(2004 –</w:t>
      </w:r>
      <w:r>
        <w:rPr>
          <w:lang w:val="en-CA"/>
        </w:rPr>
        <w:t xml:space="preserve"> 2009 – 2014)</w:t>
      </w:r>
    </w:p>
    <w:p w:rsidR="00ED0E89" w:rsidRDefault="00335BFF" w:rsidP="00ED0E89">
      <w:pPr>
        <w:pStyle w:val="figure"/>
      </w:pPr>
      <w:r>
        <w:rPr>
          <w:noProof/>
          <w:lang w:val="en-CA" w:eastAsia="en-CA"/>
        </w:rPr>
        <w:drawing>
          <wp:inline distT="0" distB="0" distL="0" distR="0" wp14:anchorId="32422CFE" wp14:editId="2FC4D5A1">
            <wp:extent cx="5332095" cy="3310890"/>
            <wp:effectExtent l="0" t="0" r="20955" b="22860"/>
            <wp:docPr id="1" name="Graphique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D0E89" w:rsidRDefault="00ED0E89" w:rsidP="00763264">
      <w:pPr>
        <w:pStyle w:val="p"/>
      </w:pPr>
    </w:p>
    <w:p w:rsidR="00C97251" w:rsidRPr="00F415ED" w:rsidRDefault="00C97251" w:rsidP="00C97251">
      <w:pPr>
        <w:pStyle w:val="p"/>
      </w:pPr>
      <w:r w:rsidRPr="00C97251">
        <w:t>To take advantage of the more detailed data collected since 2009, we can also compare the expected hours of work to th</w:t>
      </w:r>
      <w:r>
        <w:t>e actual hours of work.</w:t>
      </w:r>
      <w:r w:rsidR="00F35D45">
        <w:t xml:space="preserve"> </w:t>
      </w:r>
      <w:r w:rsidR="00D97B1A">
        <w:t>Chart </w:t>
      </w:r>
      <w:r>
        <w:t>2</w:t>
      </w:r>
      <w:r w:rsidRPr="00C97251">
        <w:t xml:space="preserve"> shows that the reduction in the hours of work between 2009 and 2014 has been both in terms of management expectations and actual hours worked. However </w:t>
      </w:r>
      <w:r>
        <w:t xml:space="preserve">in the cross-over of the actual and expected lines at the higher end of the hours per week scale, </w:t>
      </w:r>
      <w:r w:rsidRPr="00C97251">
        <w:t xml:space="preserve">this </w:t>
      </w:r>
      <w:r w:rsidR="00D97B1A">
        <w:t xml:space="preserve">chart </w:t>
      </w:r>
      <w:r w:rsidRPr="00C97251">
        <w:t>also shows that developers still tend to work more hours than they are officially expected</w:t>
      </w:r>
      <w:r>
        <w:t>, t</w:t>
      </w:r>
      <w:r w:rsidRPr="00C97251">
        <w:t>hough this gap may be smaller in 2014.</w:t>
      </w:r>
    </w:p>
    <w:p w:rsidR="00E0702B" w:rsidRDefault="00E0702B">
      <w:pPr>
        <w:jc w:val="left"/>
        <w:rPr>
          <w:rFonts w:ascii="Calibri" w:hAnsi="Calibri"/>
          <w:b/>
          <w:sz w:val="20"/>
          <w:lang w:val="en-CA"/>
        </w:rPr>
      </w:pPr>
      <w:r>
        <w:rPr>
          <w:lang w:val="en-CA"/>
        </w:rPr>
        <w:br w:type="page"/>
      </w:r>
    </w:p>
    <w:p w:rsidR="00ED0E89" w:rsidRPr="00430295" w:rsidRDefault="00D97B1A" w:rsidP="00ED0E89">
      <w:pPr>
        <w:pStyle w:val="Heading5"/>
        <w:rPr>
          <w:lang w:val="en-CA"/>
        </w:rPr>
      </w:pPr>
      <w:r>
        <w:rPr>
          <w:lang w:val="en-CA"/>
        </w:rPr>
        <w:lastRenderedPageBreak/>
        <w:t>Chart </w:t>
      </w:r>
      <w:r w:rsidR="00ED0E89">
        <w:rPr>
          <w:lang w:val="en-CA"/>
        </w:rPr>
        <w:t>2</w:t>
      </w:r>
    </w:p>
    <w:p w:rsidR="00ED0E89" w:rsidRPr="00E02113" w:rsidRDefault="00ED0E89" w:rsidP="00ED0E89">
      <w:pPr>
        <w:pStyle w:val="Heading5"/>
      </w:pPr>
      <w:r w:rsidRPr="00E02113">
        <w:rPr>
          <w:lang w:val="en-CA"/>
        </w:rPr>
        <w:t xml:space="preserve">How many hours per week on average are you EXPECTED to work / do you ACTUALLY work when in a REGULAR </w:t>
      </w:r>
      <w:r w:rsidRPr="00BA70E3">
        <w:rPr>
          <w:lang w:val="en-CA"/>
        </w:rPr>
        <w:t xml:space="preserve">schedule? </w:t>
      </w:r>
      <w:r w:rsidR="006E1C92" w:rsidRPr="00BA70E3">
        <w:t>(</w:t>
      </w:r>
      <w:r w:rsidRPr="00BA70E3">
        <w:t>2009 –</w:t>
      </w:r>
      <w:r>
        <w:t xml:space="preserve"> 2014)</w:t>
      </w:r>
    </w:p>
    <w:p w:rsidR="00ED0E89" w:rsidRDefault="00335BFF" w:rsidP="00ED0E89">
      <w:pPr>
        <w:pStyle w:val="figure"/>
      </w:pPr>
      <w:r>
        <w:rPr>
          <w:noProof/>
          <w:lang w:val="en-CA" w:eastAsia="en-CA"/>
        </w:rPr>
        <w:drawing>
          <wp:inline distT="0" distB="0" distL="0" distR="0" wp14:anchorId="2D4454A9" wp14:editId="3170A2B3">
            <wp:extent cx="5226685" cy="3608070"/>
            <wp:effectExtent l="0" t="0" r="12065" b="11430"/>
            <wp:docPr id="2"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0E89" w:rsidRDefault="00ED0E89" w:rsidP="00763264">
      <w:pPr>
        <w:pStyle w:val="p"/>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5"/>
      </w:tblGrid>
      <w:tr w:rsidR="00ED0E89" w:rsidRPr="00C44C18" w:rsidTr="00E17D21">
        <w:tc>
          <w:tcPr>
            <w:tcW w:w="7625" w:type="dxa"/>
            <w:shd w:val="clear" w:color="auto" w:fill="auto"/>
          </w:tcPr>
          <w:p w:rsidR="00ED0E89" w:rsidRPr="00E17D21" w:rsidRDefault="00ED0E89" w:rsidP="00C97251">
            <w:pPr>
              <w:pStyle w:val="p"/>
              <w:ind w:left="-3"/>
            </w:pPr>
            <w:r w:rsidRPr="00E17D21">
              <w:t xml:space="preserve">In keeping with these results, on average the Canadian developers we interviewed reported working 41.8 hours in a normal week when they were not in crunch. </w:t>
            </w:r>
          </w:p>
        </w:tc>
      </w:tr>
    </w:tbl>
    <w:p w:rsidR="006E1C92" w:rsidRDefault="006E1C92" w:rsidP="00BA70E3">
      <w:pPr>
        <w:pStyle w:val="p"/>
      </w:pPr>
      <w:bookmarkStart w:id="16" w:name="_Toc408662181"/>
    </w:p>
    <w:p w:rsidR="006E1C92" w:rsidRDefault="006E1C92" w:rsidP="006E1C92">
      <w:pPr>
        <w:pStyle w:val="p"/>
        <w:rPr>
          <w:spacing w:val="-4"/>
          <w:kern w:val="28"/>
          <w:sz w:val="28"/>
        </w:rPr>
      </w:pPr>
      <w:r>
        <w:br w:type="page"/>
      </w:r>
    </w:p>
    <w:p w:rsidR="00ED0E89" w:rsidRPr="00EA0FF7" w:rsidRDefault="00ED0E89" w:rsidP="00ED0E89">
      <w:pPr>
        <w:pStyle w:val="Heading1"/>
        <w:rPr>
          <w:lang w:val="en-CA"/>
        </w:rPr>
      </w:pPr>
      <w:bookmarkStart w:id="17" w:name="_Toc428799764"/>
      <w:r>
        <w:rPr>
          <w:lang w:val="en-CA"/>
        </w:rPr>
        <w:lastRenderedPageBreak/>
        <w:t xml:space="preserve">A </w:t>
      </w:r>
      <w:r w:rsidRPr="00EA0FF7">
        <w:rPr>
          <w:lang w:val="en-CA"/>
        </w:rPr>
        <w:t>decreasing practice of crunch</w:t>
      </w:r>
      <w:r>
        <w:rPr>
          <w:lang w:val="en-CA"/>
        </w:rPr>
        <w:t>, but still important</w:t>
      </w:r>
      <w:bookmarkEnd w:id="16"/>
      <w:bookmarkEnd w:id="17"/>
    </w:p>
    <w:p w:rsidR="00ED0E89" w:rsidRPr="00EA0FF7" w:rsidRDefault="00ED0E89" w:rsidP="00ED0E89">
      <w:pPr>
        <w:pStyle w:val="Heading2"/>
        <w:rPr>
          <w:lang w:val="en-CA"/>
        </w:rPr>
      </w:pPr>
      <w:bookmarkStart w:id="18" w:name="_Toc408662182"/>
      <w:bookmarkStart w:id="19" w:name="_Toc428799765"/>
      <w:r>
        <w:rPr>
          <w:lang w:val="en-CA"/>
        </w:rPr>
        <w:t>C</w:t>
      </w:r>
      <w:r w:rsidRPr="00EA0FF7">
        <w:rPr>
          <w:lang w:val="en-CA"/>
        </w:rPr>
        <w:t>runch</w:t>
      </w:r>
      <w:r>
        <w:rPr>
          <w:lang w:val="en-CA"/>
        </w:rPr>
        <w:t xml:space="preserve"> time, a project management notion</w:t>
      </w:r>
      <w:bookmarkEnd w:id="18"/>
      <w:bookmarkEnd w:id="19"/>
    </w:p>
    <w:p w:rsidR="00ED0E89" w:rsidRPr="00ED0E89" w:rsidRDefault="00ED0E89" w:rsidP="00763264">
      <w:pPr>
        <w:pStyle w:val="p"/>
        <w:rPr>
          <w:shd w:val="clear" w:color="auto" w:fill="FFFFFF"/>
        </w:rPr>
      </w:pPr>
      <w:r w:rsidRPr="00ED0E89">
        <w:rPr>
          <w:shd w:val="clear" w:color="auto" w:fill="FFFFFF"/>
        </w:rPr>
        <w:t xml:space="preserve">For the purpose of the IGDA survey, </w:t>
      </w:r>
      <w:r w:rsidRPr="00ED0E89">
        <w:rPr>
          <w:i/>
          <w:shd w:val="clear" w:color="auto" w:fill="FFFFFF"/>
        </w:rPr>
        <w:t>crunch</w:t>
      </w:r>
      <w:r w:rsidRPr="00ED0E89">
        <w:rPr>
          <w:shd w:val="clear" w:color="auto" w:fill="FFFFFF"/>
        </w:rPr>
        <w:t xml:space="preserve"> time was defined as when a team goes into an extended period of work (beyond the regular hours) to meet milestones and deadlines for shipping deliverables. Known as </w:t>
      </w:r>
      <w:r w:rsidRPr="00ED0E89">
        <w:rPr>
          <w:i/>
          <w:shd w:val="clear" w:color="auto" w:fill="FFFFFF"/>
        </w:rPr>
        <w:t xml:space="preserve">overtime </w:t>
      </w:r>
      <w:r w:rsidRPr="00ED0E89">
        <w:rPr>
          <w:shd w:val="clear" w:color="auto" w:fill="FFFFFF"/>
        </w:rPr>
        <w:t>to most people outside of the industry, th</w:t>
      </w:r>
      <w:r w:rsidR="008F3D28">
        <w:rPr>
          <w:shd w:val="clear" w:color="auto" w:fill="FFFFFF"/>
        </w:rPr>
        <w:t>e use of the word overtime</w:t>
      </w:r>
      <w:r w:rsidRPr="00ED0E89">
        <w:rPr>
          <w:shd w:val="clear" w:color="auto" w:fill="FFFFFF"/>
        </w:rPr>
        <w:t xml:space="preserve"> is carefully avoided in the video game industry. Though the phenomenon itself is common to project based environments, the virtually exclusive use of the term </w:t>
      </w:r>
      <w:r w:rsidRPr="00ED0E89">
        <w:rPr>
          <w:i/>
          <w:shd w:val="clear" w:color="auto" w:fill="FFFFFF"/>
        </w:rPr>
        <w:t>crunch</w:t>
      </w:r>
      <w:r w:rsidRPr="00ED0E89">
        <w:rPr>
          <w:shd w:val="clear" w:color="auto" w:fill="FFFFFF"/>
        </w:rPr>
        <w:t xml:space="preserve"> in place of </w:t>
      </w:r>
      <w:r w:rsidR="008F3D28">
        <w:rPr>
          <w:shd w:val="clear" w:color="auto" w:fill="FFFFFF"/>
        </w:rPr>
        <w:t>overtime term is characteristic</w:t>
      </w:r>
      <w:r w:rsidRPr="00ED0E89">
        <w:rPr>
          <w:shd w:val="clear" w:color="auto" w:fill="FFFFFF"/>
        </w:rPr>
        <w:t xml:space="preserve"> of this industry.</w:t>
      </w:r>
    </w:p>
    <w:p w:rsidR="00BF7B04" w:rsidRPr="00F415ED" w:rsidRDefault="00BF7B04" w:rsidP="00A04FCB">
      <w:pPr>
        <w:pStyle w:val="p0"/>
      </w:pPr>
      <w:r>
        <w:t xml:space="preserve">Crunch time </w:t>
      </w:r>
      <w:r w:rsidRPr="00BB7E09">
        <w:t>is a threefold notion,</w:t>
      </w:r>
      <w:r w:rsidRPr="00F415ED">
        <w:t xml:space="preserve"> as workers</w:t>
      </w:r>
      <w:r>
        <w:t xml:space="preserve"> can be asked to</w:t>
      </w:r>
      <w:r w:rsidRPr="00F415ED">
        <w:t>:</w:t>
      </w:r>
    </w:p>
    <w:p w:rsidR="00BF7B04" w:rsidRPr="004B3B29" w:rsidRDefault="00BF7B04" w:rsidP="00BF7B04">
      <w:pPr>
        <w:pStyle w:val="e1"/>
      </w:pPr>
      <w:r w:rsidRPr="004B3B29">
        <w:t>-</w:t>
      </w:r>
      <w:r w:rsidRPr="004B3B29">
        <w:tab/>
        <w:t xml:space="preserve">add working hours </w:t>
      </w:r>
      <w:r w:rsidRPr="004B3B29">
        <w:rPr>
          <w:i/>
        </w:rPr>
        <w:t xml:space="preserve">to the regular weekly working hours </w:t>
      </w:r>
      <w:r w:rsidRPr="004B3B29">
        <w:t>and the length of the work week varies between 45 and 90 hours;</w:t>
      </w:r>
    </w:p>
    <w:p w:rsidR="00BF7B04" w:rsidRDefault="00BF7B04" w:rsidP="00BF7B04">
      <w:pPr>
        <w:pStyle w:val="e10"/>
        <w:spacing w:after="0"/>
        <w:ind w:left="1282" w:hanging="288"/>
        <w:rPr>
          <w:lang w:val="en-CA"/>
        </w:rPr>
      </w:pPr>
      <w:r w:rsidRPr="006369AB">
        <w:rPr>
          <w:lang w:val="en-CA"/>
        </w:rPr>
        <w:t>-</w:t>
      </w:r>
      <w:r w:rsidRPr="006369AB">
        <w:rPr>
          <w:lang w:val="en-CA"/>
        </w:rPr>
        <w:tab/>
      </w:r>
      <w:r>
        <w:rPr>
          <w:lang w:val="en-CA"/>
        </w:rPr>
        <w:t>extend this practice</w:t>
      </w:r>
      <w:r w:rsidRPr="006369AB">
        <w:rPr>
          <w:lang w:val="en-CA"/>
        </w:rPr>
        <w:t xml:space="preserve"> </w:t>
      </w:r>
      <w:r>
        <w:rPr>
          <w:lang w:val="en-CA"/>
        </w:rPr>
        <w:t>over</w:t>
      </w:r>
      <w:r w:rsidRPr="006369AB">
        <w:rPr>
          <w:lang w:val="en-CA"/>
        </w:rPr>
        <w:t xml:space="preserve"> a few weeks </w:t>
      </w:r>
      <w:r>
        <w:rPr>
          <w:lang w:val="en-CA"/>
        </w:rPr>
        <w:t>or a few months;</w:t>
      </w:r>
    </w:p>
    <w:p w:rsidR="00BF7B04" w:rsidRPr="00BB7E09" w:rsidRDefault="00BF7B04" w:rsidP="00BF7B04">
      <w:pPr>
        <w:pStyle w:val="e10"/>
        <w:spacing w:after="0"/>
        <w:ind w:left="1282" w:hanging="288"/>
        <w:rPr>
          <w:lang w:val="en-CA"/>
        </w:rPr>
      </w:pPr>
      <w:r w:rsidRPr="00BB7E09">
        <w:rPr>
          <w:lang w:val="en-CA"/>
        </w:rPr>
        <w:t xml:space="preserve">- </w:t>
      </w:r>
      <w:r w:rsidRPr="00BB7E09">
        <w:rPr>
          <w:lang w:val="en-CA"/>
        </w:rPr>
        <w:tab/>
      </w:r>
      <w:proofErr w:type="gramStart"/>
      <w:r w:rsidRPr="00BB7E09">
        <w:rPr>
          <w:lang w:val="en-CA"/>
        </w:rPr>
        <w:t>repeatedly</w:t>
      </w:r>
      <w:proofErr w:type="gramEnd"/>
      <w:r w:rsidRPr="00BB7E09">
        <w:rPr>
          <w:lang w:val="en-CA"/>
        </w:rPr>
        <w:t xml:space="preserve"> engage in discrete periods of crunch over the course of a project or over a certain time period</w:t>
      </w:r>
      <w:bookmarkStart w:id="20" w:name="_Toc408662183"/>
    </w:p>
    <w:p w:rsidR="00BF7B04" w:rsidRPr="00BB7E09" w:rsidRDefault="00BF7B04" w:rsidP="00BF7B04">
      <w:pPr>
        <w:pStyle w:val="e10"/>
        <w:spacing w:after="0"/>
        <w:ind w:left="990" w:firstLine="0"/>
        <w:rPr>
          <w:lang w:val="en-CA"/>
        </w:rPr>
      </w:pPr>
    </w:p>
    <w:p w:rsidR="00BF7B04" w:rsidRPr="00F41F00" w:rsidRDefault="00BF7B04" w:rsidP="00BF7B04">
      <w:pPr>
        <w:pStyle w:val="e10"/>
        <w:spacing w:after="0"/>
        <w:ind w:left="990" w:firstLine="0"/>
        <w:rPr>
          <w:lang w:val="en-CA"/>
        </w:rPr>
      </w:pPr>
      <w:r w:rsidRPr="00BB7E09">
        <w:rPr>
          <w:lang w:val="en-CA"/>
        </w:rPr>
        <w:t>To understand this multi-faceted nature of crunch, we then have to consider how many hours developers work in crunch, how long a period of crunch extends and how many times they crunch over some defined time period (i.e., over the course of a year). We also must acknowledge the variation in cr</w:t>
      </w:r>
      <w:r w:rsidR="00BA4FD6">
        <w:rPr>
          <w:lang w:val="en-CA"/>
        </w:rPr>
        <w:t xml:space="preserve">unch practices across studios. </w:t>
      </w:r>
      <w:r w:rsidRPr="00BB7E09">
        <w:rPr>
          <w:lang w:val="en-CA"/>
        </w:rPr>
        <w:t>In some studios crunch is standard practice, rather than the exception. In some others, it’s nearly banned.</w:t>
      </w:r>
    </w:p>
    <w:p w:rsidR="00ED0E89" w:rsidRPr="00EA0FF7" w:rsidRDefault="00ED0E89" w:rsidP="00ED0E89">
      <w:pPr>
        <w:pStyle w:val="Heading2"/>
        <w:rPr>
          <w:lang w:val="en-CA"/>
        </w:rPr>
      </w:pPr>
      <w:bookmarkStart w:id="21" w:name="_Toc428799766"/>
      <w:r>
        <w:rPr>
          <w:lang w:val="en-CA"/>
        </w:rPr>
        <w:t>T</w:t>
      </w:r>
      <w:r w:rsidRPr="00EA0FF7">
        <w:rPr>
          <w:lang w:val="en-CA"/>
        </w:rPr>
        <w:t xml:space="preserve">he </w:t>
      </w:r>
      <w:r>
        <w:rPr>
          <w:lang w:val="en-CA"/>
        </w:rPr>
        <w:t xml:space="preserve">general </w:t>
      </w:r>
      <w:r w:rsidRPr="00EA0FF7">
        <w:rPr>
          <w:lang w:val="en-CA"/>
        </w:rPr>
        <w:t xml:space="preserve">practice </w:t>
      </w:r>
      <w:r>
        <w:rPr>
          <w:lang w:val="en-CA"/>
        </w:rPr>
        <w:t>is</w:t>
      </w:r>
      <w:r w:rsidRPr="00EA0FF7">
        <w:rPr>
          <w:lang w:val="en-CA"/>
        </w:rPr>
        <w:t xml:space="preserve"> decreasing</w:t>
      </w:r>
      <w:r>
        <w:rPr>
          <w:lang w:val="en-CA"/>
        </w:rPr>
        <w:t>, but still part and parcel of the trade</w:t>
      </w:r>
      <w:bookmarkEnd w:id="20"/>
      <w:bookmarkEnd w:id="21"/>
    </w:p>
    <w:p w:rsidR="00BB7E09" w:rsidRPr="00ED0E89" w:rsidRDefault="00ED0E89" w:rsidP="00BB7E09">
      <w:pPr>
        <w:pStyle w:val="p"/>
      </w:pPr>
      <w:r w:rsidRPr="00ED0E89">
        <w:t>First, 2009 and 2014 surveys asked a question that allows</w:t>
      </w:r>
      <w:r w:rsidR="00BF7B04">
        <w:t xml:space="preserve"> us</w:t>
      </w:r>
      <w:r w:rsidRPr="00ED0E89">
        <w:t xml:space="preserve"> to compare the studio practices related to </w:t>
      </w:r>
      <w:r w:rsidRPr="00BA70E3">
        <w:t xml:space="preserve">crunch time. </w:t>
      </w:r>
      <w:r w:rsidR="00BF7B04" w:rsidRPr="00BA70E3">
        <w:t>As Table 4 shows, t</w:t>
      </w:r>
      <w:r w:rsidRPr="00BA70E3">
        <w:t>he</w:t>
      </w:r>
      <w:r w:rsidRPr="00ED0E89">
        <w:t xml:space="preserve"> share of respondents who said that their studios do all that they can to avoid crunch has increased from 37 to 44%.</w:t>
      </w:r>
      <w:r w:rsidR="00AA673D">
        <w:t xml:space="preserve"> The number of people who say that their studios never crunch has remained the same over the years and is only 8% in 2014. </w:t>
      </w:r>
      <w:r w:rsidR="00BB7E09">
        <w:t xml:space="preserve">This data is presented in graphical form in </w:t>
      </w:r>
      <w:r w:rsidR="00D97B1A">
        <w:t>Chart </w:t>
      </w:r>
      <w:r w:rsidR="00BB7E09">
        <w:t>3</w:t>
      </w:r>
      <w:r w:rsidR="00BB7E09" w:rsidRPr="00ED0E89">
        <w:t>.</w:t>
      </w:r>
    </w:p>
    <w:p w:rsidR="00ED0E89" w:rsidRPr="00ED0E89" w:rsidRDefault="00ED0E89" w:rsidP="00763264">
      <w:pPr>
        <w:pStyle w:val="p"/>
      </w:pPr>
      <w:r w:rsidRPr="00ED0E89">
        <w:t xml:space="preserve"> If we combine the</w:t>
      </w:r>
      <w:r w:rsidR="00AA673D">
        <w:t>se</w:t>
      </w:r>
      <w:r w:rsidRPr="00ED0E89">
        <w:t xml:space="preserve"> first two answers</w:t>
      </w:r>
      <w:r w:rsidR="00BB7E09">
        <w:t xml:space="preserve"> on this table</w:t>
      </w:r>
      <w:r w:rsidRPr="00ED0E89">
        <w:t>, we get the proportion of respondents who considers the practice of crunch as an exception</w:t>
      </w:r>
      <w:r w:rsidR="00BB7E09">
        <w:t xml:space="preserve"> to the rule in their studio</w:t>
      </w:r>
      <w:r w:rsidRPr="00ED0E89">
        <w:t>. This has increased from 44% to 52% over the five year span.</w:t>
      </w:r>
    </w:p>
    <w:p w:rsidR="00264A8E" w:rsidRDefault="00ED0E89" w:rsidP="00BB7E09">
      <w:pPr>
        <w:pStyle w:val="p"/>
      </w:pPr>
      <w:r w:rsidRPr="00ED0E89">
        <w:t xml:space="preserve">If we combine the last four answers, we get the proportion of respondents who perceive the practice of crunch </w:t>
      </w:r>
      <w:r w:rsidR="00BB7E09">
        <w:t xml:space="preserve">to be part of </w:t>
      </w:r>
      <w:r w:rsidRPr="00ED0E89">
        <w:t>the regular schedule of their studio. This has decreased from 56</w:t>
      </w:r>
      <w:r w:rsidR="00264A8E">
        <w:t>%</w:t>
      </w:r>
      <w:r w:rsidR="00BB7E09">
        <w:t xml:space="preserve"> to 48%. </w:t>
      </w:r>
      <w:r w:rsidRPr="000B559F">
        <w:t>A noticeable change lies in the proportion of respondents who still often works in crunch but considers it as a failure in scheduling, decreasing from 21 to 15%.</w:t>
      </w:r>
      <w:r w:rsidR="00E0702B">
        <w:t xml:space="preserve"> </w:t>
      </w:r>
    </w:p>
    <w:p w:rsidR="001F6E0B" w:rsidRDefault="00264A8E" w:rsidP="00E0702B">
      <w:pPr>
        <w:pStyle w:val="p"/>
      </w:pPr>
      <w:r w:rsidRPr="00BB7E09">
        <w:lastRenderedPageBreak/>
        <w:t>These numbers are trending in the right direction, but a high proportion of developers still work at studios where crunch is common and even accepted.</w:t>
      </w:r>
    </w:p>
    <w:p w:rsidR="00ED0E89" w:rsidRPr="00BB7E09" w:rsidRDefault="00ED0E89" w:rsidP="00BB7E09">
      <w:pPr>
        <w:pStyle w:val="Heading5"/>
      </w:pPr>
      <w:r w:rsidRPr="00BB7E09">
        <w:t>Table 4</w:t>
      </w:r>
    </w:p>
    <w:p w:rsidR="00ED0E89" w:rsidRPr="00BB7E09" w:rsidRDefault="00ED0E89" w:rsidP="00BB7E09">
      <w:pPr>
        <w:pStyle w:val="Heading5"/>
      </w:pPr>
      <w:r w:rsidRPr="00BB7E09">
        <w:t>How does your company manage crunch time?</w:t>
      </w:r>
    </w:p>
    <w:tbl>
      <w:tblPr>
        <w:tblW w:w="7654" w:type="dxa"/>
        <w:tblInd w:w="881"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000" w:firstRow="0" w:lastRow="0" w:firstColumn="0" w:lastColumn="0" w:noHBand="0" w:noVBand="0"/>
      </w:tblPr>
      <w:tblGrid>
        <w:gridCol w:w="5812"/>
        <w:gridCol w:w="850"/>
        <w:gridCol w:w="992"/>
      </w:tblGrid>
      <w:tr w:rsidR="00ED0E89" w:rsidRPr="00EA0FF7" w:rsidTr="00E17D21">
        <w:trPr>
          <w:cantSplit/>
        </w:trPr>
        <w:tc>
          <w:tcPr>
            <w:tcW w:w="5812" w:type="dxa"/>
            <w:shd w:val="clear" w:color="auto" w:fill="D9D9D9"/>
          </w:tcPr>
          <w:p w:rsidR="00ED0E89" w:rsidRPr="00ED0E89" w:rsidRDefault="00ED0E89" w:rsidP="003F6C69">
            <w:pPr>
              <w:pStyle w:val="chiffres2"/>
              <w:rPr>
                <w:lang w:val="en-CA"/>
              </w:rPr>
            </w:pPr>
          </w:p>
        </w:tc>
        <w:tc>
          <w:tcPr>
            <w:tcW w:w="850" w:type="dxa"/>
            <w:shd w:val="clear" w:color="auto" w:fill="D9D9D9"/>
          </w:tcPr>
          <w:p w:rsidR="00ED0E89" w:rsidRPr="00EA0FF7" w:rsidRDefault="00ED0E89" w:rsidP="00950ED0">
            <w:pPr>
              <w:pStyle w:val="chiffres"/>
              <w:rPr>
                <w:lang w:val="en-CA"/>
              </w:rPr>
            </w:pPr>
            <w:r w:rsidRPr="00EA0FF7">
              <w:rPr>
                <w:lang w:val="en-CA"/>
              </w:rPr>
              <w:t>2009</w:t>
            </w:r>
          </w:p>
        </w:tc>
        <w:tc>
          <w:tcPr>
            <w:tcW w:w="992" w:type="dxa"/>
            <w:shd w:val="clear" w:color="auto" w:fill="D9D9D9"/>
            <w:vAlign w:val="center"/>
          </w:tcPr>
          <w:p w:rsidR="00ED0E89" w:rsidRPr="00EA0FF7" w:rsidRDefault="00ED0E89" w:rsidP="00950ED0">
            <w:pPr>
              <w:pStyle w:val="chiffres"/>
              <w:rPr>
                <w:lang w:val="en-CA"/>
              </w:rPr>
            </w:pPr>
            <w:r w:rsidRPr="00EA0FF7">
              <w:rPr>
                <w:lang w:val="en-CA"/>
              </w:rPr>
              <w:t>2014</w:t>
            </w:r>
          </w:p>
        </w:tc>
      </w:tr>
      <w:tr w:rsidR="00ED0E89" w:rsidRPr="00EA0FF7" w:rsidTr="00E17D21">
        <w:trPr>
          <w:cantSplit/>
        </w:trPr>
        <w:tc>
          <w:tcPr>
            <w:tcW w:w="5812" w:type="dxa"/>
            <w:shd w:val="clear" w:color="auto" w:fill="FFFF00"/>
          </w:tcPr>
          <w:p w:rsidR="00ED0E89" w:rsidRPr="00ED0E89" w:rsidRDefault="00ED0E89" w:rsidP="003F6C69">
            <w:pPr>
              <w:pStyle w:val="chiffres2"/>
              <w:rPr>
                <w:highlight w:val="yellow"/>
                <w:lang w:val="en-CA"/>
              </w:rPr>
            </w:pPr>
            <w:r w:rsidRPr="00BB6E7B">
              <w:rPr>
                <w:lang w:val="en-CA"/>
              </w:rPr>
              <w:t>Very rarely in extraordinary circumstances we have to crunch, but we do everything we can to avoid it</w:t>
            </w:r>
          </w:p>
        </w:tc>
        <w:tc>
          <w:tcPr>
            <w:tcW w:w="850" w:type="dxa"/>
            <w:shd w:val="clear" w:color="auto" w:fill="FFFF00"/>
          </w:tcPr>
          <w:p w:rsidR="00ED0E89" w:rsidRPr="00C101F2" w:rsidRDefault="00ED0E89" w:rsidP="00950ED0">
            <w:pPr>
              <w:pStyle w:val="chiffres2"/>
              <w:jc w:val="center"/>
              <w:rPr>
                <w:highlight w:val="yellow"/>
              </w:rPr>
            </w:pPr>
            <w:r w:rsidRPr="00BB6E7B">
              <w:t>37</w:t>
            </w:r>
          </w:p>
        </w:tc>
        <w:tc>
          <w:tcPr>
            <w:tcW w:w="992" w:type="dxa"/>
            <w:shd w:val="clear" w:color="auto" w:fill="FFFF00"/>
          </w:tcPr>
          <w:p w:rsidR="00ED0E89" w:rsidRPr="00145B9B" w:rsidRDefault="00ED0E89" w:rsidP="00950ED0">
            <w:pPr>
              <w:pStyle w:val="chiffres2"/>
              <w:jc w:val="center"/>
            </w:pPr>
            <w:r w:rsidRPr="00BB6E7B">
              <w:t>4</w:t>
            </w:r>
            <w:r>
              <w:t>4</w:t>
            </w:r>
          </w:p>
        </w:tc>
      </w:tr>
      <w:tr w:rsidR="00ED0E89" w:rsidRPr="00EA0FF7" w:rsidTr="00E17D21">
        <w:trPr>
          <w:cantSplit/>
        </w:trPr>
        <w:tc>
          <w:tcPr>
            <w:tcW w:w="5812" w:type="dxa"/>
            <w:shd w:val="clear" w:color="auto" w:fill="FFFF00"/>
          </w:tcPr>
          <w:p w:rsidR="00ED0E89" w:rsidRPr="00ED0E89" w:rsidRDefault="00ED0E89" w:rsidP="003F6C69">
            <w:pPr>
              <w:pStyle w:val="chiffres2"/>
              <w:rPr>
                <w:lang w:val="en-CA"/>
              </w:rPr>
            </w:pPr>
            <w:r w:rsidRPr="00ED0E89">
              <w:rPr>
                <w:lang w:val="en-CA"/>
              </w:rPr>
              <w:t>We don’t have crunch time; our schedules allow us to get things done without it</w:t>
            </w:r>
          </w:p>
        </w:tc>
        <w:tc>
          <w:tcPr>
            <w:tcW w:w="850" w:type="dxa"/>
            <w:shd w:val="clear" w:color="auto" w:fill="FFFF00"/>
          </w:tcPr>
          <w:p w:rsidR="00ED0E89" w:rsidRPr="00EA0FF7" w:rsidRDefault="00ED0E89" w:rsidP="00950ED0">
            <w:pPr>
              <w:pStyle w:val="chiffres2"/>
              <w:jc w:val="center"/>
            </w:pPr>
            <w:r>
              <w:t>7</w:t>
            </w:r>
          </w:p>
        </w:tc>
        <w:tc>
          <w:tcPr>
            <w:tcW w:w="992" w:type="dxa"/>
            <w:shd w:val="clear" w:color="auto" w:fill="FFFF00"/>
          </w:tcPr>
          <w:p w:rsidR="00ED0E89" w:rsidRPr="00145B9B" w:rsidRDefault="00ED0E89" w:rsidP="00950ED0">
            <w:pPr>
              <w:pStyle w:val="chiffres2"/>
              <w:jc w:val="center"/>
            </w:pPr>
            <w:r>
              <w:t>8</w:t>
            </w:r>
          </w:p>
        </w:tc>
      </w:tr>
      <w:tr w:rsidR="00ED0E89" w:rsidRPr="00EA0FF7" w:rsidTr="00E17D21">
        <w:trPr>
          <w:cantSplit/>
        </w:trPr>
        <w:tc>
          <w:tcPr>
            <w:tcW w:w="5812" w:type="dxa"/>
            <w:shd w:val="clear" w:color="auto" w:fill="D9D9D9"/>
          </w:tcPr>
          <w:p w:rsidR="00ED0E89" w:rsidRPr="00ED0E89" w:rsidRDefault="00ED0E89" w:rsidP="003F6C69">
            <w:pPr>
              <w:pStyle w:val="chiffres2"/>
              <w:rPr>
                <w:lang w:val="en-CA"/>
              </w:rPr>
            </w:pPr>
            <w:r w:rsidRPr="00ED0E89">
              <w:rPr>
                <w:lang w:val="en-CA"/>
              </w:rPr>
              <w:t>Crunch is part of our regular schedule and I don’t agree that it should be</w:t>
            </w:r>
          </w:p>
        </w:tc>
        <w:tc>
          <w:tcPr>
            <w:tcW w:w="850" w:type="dxa"/>
            <w:shd w:val="clear" w:color="auto" w:fill="D9D9D9"/>
          </w:tcPr>
          <w:p w:rsidR="00ED0E89" w:rsidRPr="00EA0FF7" w:rsidRDefault="00ED0E89" w:rsidP="00950ED0">
            <w:pPr>
              <w:pStyle w:val="chiffres2"/>
              <w:jc w:val="center"/>
            </w:pPr>
            <w:r>
              <w:t>22</w:t>
            </w:r>
          </w:p>
        </w:tc>
        <w:tc>
          <w:tcPr>
            <w:tcW w:w="992" w:type="dxa"/>
            <w:shd w:val="clear" w:color="auto" w:fill="D9D9D9"/>
          </w:tcPr>
          <w:p w:rsidR="00ED0E89" w:rsidRPr="00145B9B" w:rsidRDefault="00ED0E89" w:rsidP="00950ED0">
            <w:pPr>
              <w:pStyle w:val="chiffres2"/>
              <w:jc w:val="center"/>
            </w:pPr>
            <w:r>
              <w:t>24</w:t>
            </w:r>
          </w:p>
        </w:tc>
      </w:tr>
      <w:tr w:rsidR="00ED0E89" w:rsidRPr="00EA0FF7" w:rsidTr="00E17D21">
        <w:trPr>
          <w:cantSplit/>
        </w:trPr>
        <w:tc>
          <w:tcPr>
            <w:tcW w:w="5812" w:type="dxa"/>
            <w:shd w:val="clear" w:color="auto" w:fill="D9D9D9"/>
          </w:tcPr>
          <w:p w:rsidR="00ED0E89" w:rsidRPr="00ED0E89" w:rsidRDefault="00ED0E89" w:rsidP="003F6C69">
            <w:pPr>
              <w:pStyle w:val="chiffres2"/>
              <w:rPr>
                <w:lang w:val="en-CA"/>
              </w:rPr>
            </w:pPr>
            <w:r w:rsidRPr="00ED0E89">
              <w:rPr>
                <w:lang w:val="en-CA"/>
              </w:rPr>
              <w:t>We crunch often, but we view it as a failure in scheduling</w:t>
            </w:r>
          </w:p>
        </w:tc>
        <w:tc>
          <w:tcPr>
            <w:tcW w:w="850" w:type="dxa"/>
            <w:shd w:val="clear" w:color="auto" w:fill="D9D9D9"/>
          </w:tcPr>
          <w:p w:rsidR="00ED0E89" w:rsidRPr="00EA0FF7" w:rsidRDefault="00ED0E89" w:rsidP="00950ED0">
            <w:pPr>
              <w:pStyle w:val="chiffres2"/>
              <w:jc w:val="center"/>
            </w:pPr>
            <w:r>
              <w:t>21</w:t>
            </w:r>
          </w:p>
        </w:tc>
        <w:tc>
          <w:tcPr>
            <w:tcW w:w="992" w:type="dxa"/>
            <w:shd w:val="clear" w:color="auto" w:fill="D9D9D9"/>
          </w:tcPr>
          <w:p w:rsidR="00ED0E89" w:rsidRPr="00145B9B" w:rsidRDefault="00ED0E89" w:rsidP="00950ED0">
            <w:pPr>
              <w:pStyle w:val="chiffres2"/>
              <w:jc w:val="center"/>
            </w:pPr>
            <w:r>
              <w:t>15</w:t>
            </w:r>
          </w:p>
        </w:tc>
      </w:tr>
      <w:tr w:rsidR="00ED0E89" w:rsidRPr="00EA0FF7" w:rsidTr="00E17D21">
        <w:trPr>
          <w:cantSplit/>
        </w:trPr>
        <w:tc>
          <w:tcPr>
            <w:tcW w:w="5812" w:type="dxa"/>
            <w:shd w:val="clear" w:color="auto" w:fill="D9D9D9"/>
          </w:tcPr>
          <w:p w:rsidR="00ED0E89" w:rsidRPr="00ED0E89" w:rsidRDefault="00ED0E89" w:rsidP="003F6C69">
            <w:pPr>
              <w:pStyle w:val="chiffres2"/>
              <w:rPr>
                <w:lang w:val="en-CA"/>
              </w:rPr>
            </w:pPr>
            <w:r w:rsidRPr="00ED0E89">
              <w:rPr>
                <w:lang w:val="en-CA"/>
              </w:rPr>
              <w:t>Crunch is a part of our regular schedule and I don’t mind</w:t>
            </w:r>
          </w:p>
        </w:tc>
        <w:tc>
          <w:tcPr>
            <w:tcW w:w="850" w:type="dxa"/>
            <w:shd w:val="clear" w:color="auto" w:fill="D9D9D9"/>
          </w:tcPr>
          <w:p w:rsidR="00ED0E89" w:rsidRPr="00EA0FF7" w:rsidRDefault="00ED0E89" w:rsidP="00950ED0">
            <w:pPr>
              <w:pStyle w:val="chiffres2"/>
              <w:jc w:val="center"/>
            </w:pPr>
            <w:r>
              <w:t>4</w:t>
            </w:r>
          </w:p>
        </w:tc>
        <w:tc>
          <w:tcPr>
            <w:tcW w:w="992" w:type="dxa"/>
            <w:shd w:val="clear" w:color="auto" w:fill="D9D9D9"/>
          </w:tcPr>
          <w:p w:rsidR="00ED0E89" w:rsidRPr="00145B9B" w:rsidRDefault="00ED0E89" w:rsidP="00950ED0">
            <w:pPr>
              <w:pStyle w:val="chiffres2"/>
              <w:jc w:val="center"/>
            </w:pPr>
            <w:r>
              <w:t>6</w:t>
            </w:r>
          </w:p>
        </w:tc>
      </w:tr>
      <w:tr w:rsidR="00ED0E89" w:rsidRPr="00EA0FF7" w:rsidTr="00E17D21">
        <w:trPr>
          <w:cantSplit/>
        </w:trPr>
        <w:tc>
          <w:tcPr>
            <w:tcW w:w="5812" w:type="dxa"/>
            <w:shd w:val="clear" w:color="auto" w:fill="D9D9D9"/>
          </w:tcPr>
          <w:p w:rsidR="00ED0E89" w:rsidRPr="00ED0E89" w:rsidRDefault="00ED0E89" w:rsidP="003F6C69">
            <w:pPr>
              <w:pStyle w:val="chiffres2"/>
              <w:rPr>
                <w:lang w:val="en-CA"/>
              </w:rPr>
            </w:pPr>
            <w:r w:rsidRPr="00ED0E89">
              <w:rPr>
                <w:lang w:val="en-CA"/>
              </w:rPr>
              <w:t>What others call crunch, we call daily work schedules</w:t>
            </w:r>
          </w:p>
        </w:tc>
        <w:tc>
          <w:tcPr>
            <w:tcW w:w="850" w:type="dxa"/>
            <w:shd w:val="clear" w:color="auto" w:fill="D9D9D9"/>
          </w:tcPr>
          <w:p w:rsidR="00ED0E89" w:rsidRPr="00EA0FF7" w:rsidRDefault="00ED0E89" w:rsidP="00950ED0">
            <w:pPr>
              <w:pStyle w:val="chiffres2"/>
              <w:jc w:val="center"/>
            </w:pPr>
            <w:r>
              <w:t>9</w:t>
            </w:r>
          </w:p>
        </w:tc>
        <w:tc>
          <w:tcPr>
            <w:tcW w:w="992" w:type="dxa"/>
            <w:shd w:val="clear" w:color="auto" w:fill="D9D9D9"/>
          </w:tcPr>
          <w:p w:rsidR="00ED0E89" w:rsidRPr="00145B9B" w:rsidRDefault="00ED0E89" w:rsidP="00950ED0">
            <w:pPr>
              <w:pStyle w:val="chiffres2"/>
              <w:jc w:val="center"/>
            </w:pPr>
            <w:r>
              <w:t>3</w:t>
            </w:r>
          </w:p>
        </w:tc>
      </w:tr>
    </w:tbl>
    <w:p w:rsidR="00ED0E89" w:rsidRDefault="00ED0E89" w:rsidP="00763264">
      <w:pPr>
        <w:pStyle w:val="p"/>
      </w:pPr>
    </w:p>
    <w:p w:rsidR="00ED0E89" w:rsidRDefault="00D97B1A" w:rsidP="00ED0E89">
      <w:pPr>
        <w:pStyle w:val="Heading5"/>
        <w:rPr>
          <w:lang w:val="en-CA"/>
        </w:rPr>
      </w:pPr>
      <w:r>
        <w:rPr>
          <w:lang w:val="en-CA"/>
        </w:rPr>
        <w:t>Chart </w:t>
      </w:r>
      <w:r w:rsidR="00ED0E89">
        <w:rPr>
          <w:lang w:val="en-CA"/>
        </w:rPr>
        <w:t>3</w:t>
      </w:r>
    </w:p>
    <w:p w:rsidR="00ED0E89" w:rsidRPr="002D5597" w:rsidRDefault="00ED0E89" w:rsidP="00ED0E89">
      <w:pPr>
        <w:pStyle w:val="Heading5"/>
        <w:rPr>
          <w:lang w:val="en-CA"/>
        </w:rPr>
      </w:pPr>
      <w:r w:rsidRPr="002D5597">
        <w:rPr>
          <w:lang w:val="en-CA"/>
        </w:rPr>
        <w:t xml:space="preserve">How does </w:t>
      </w:r>
      <w:r>
        <w:rPr>
          <w:lang w:val="en-CA"/>
        </w:rPr>
        <w:t xml:space="preserve">your company manage crunch </w:t>
      </w:r>
      <w:r w:rsidRPr="00BA70E3">
        <w:rPr>
          <w:lang w:val="en-CA"/>
        </w:rPr>
        <w:t>time?</w:t>
      </w:r>
      <w:r w:rsidR="00C10941" w:rsidRPr="00BA70E3">
        <w:rPr>
          <w:lang w:val="en-CA"/>
        </w:rPr>
        <w:t xml:space="preserve"> (2009 – 2014)</w:t>
      </w:r>
    </w:p>
    <w:p w:rsidR="00ED0E89" w:rsidRPr="00E000A3" w:rsidRDefault="00335BFF" w:rsidP="00ED0E89">
      <w:pPr>
        <w:pStyle w:val="figure"/>
      </w:pPr>
      <w:r>
        <w:rPr>
          <w:noProof/>
          <w:lang w:val="en-CA" w:eastAsia="en-CA"/>
        </w:rPr>
        <w:drawing>
          <wp:inline distT="0" distB="0" distL="0" distR="0" wp14:anchorId="1C1D9B44" wp14:editId="36DA3D85">
            <wp:extent cx="5499100" cy="3213100"/>
            <wp:effectExtent l="0" t="0" r="25400" b="25400"/>
            <wp:docPr id="3" name="Graphique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4A8E" w:rsidRDefault="00264A8E" w:rsidP="00763264">
      <w:pPr>
        <w:pStyle w:val="p"/>
      </w:pPr>
    </w:p>
    <w:p w:rsidR="00135D8A" w:rsidRPr="00ED0E89" w:rsidRDefault="00ED0E89" w:rsidP="00135D8A">
      <w:pPr>
        <w:pStyle w:val="p"/>
      </w:pPr>
      <w:r w:rsidRPr="00ED0E89">
        <w:lastRenderedPageBreak/>
        <w:t xml:space="preserve">The 2014 survey asked for the first time if respondents had experienced crunch time in the past 2 </w:t>
      </w:r>
      <w:r w:rsidRPr="00BB7E09">
        <w:t>years</w:t>
      </w:r>
      <w:r w:rsidR="00135D8A" w:rsidRPr="00BB7E09">
        <w:t xml:space="preserve"> (Table 5, </w:t>
      </w:r>
      <w:r w:rsidR="00D97B1A">
        <w:t>Chart </w:t>
      </w:r>
      <w:r w:rsidR="00135D8A" w:rsidRPr="00BB7E09">
        <w:t>4)</w:t>
      </w:r>
      <w:r w:rsidRPr="00BB7E09">
        <w:t xml:space="preserve">. The data show that </w:t>
      </w:r>
      <w:r w:rsidR="00020CC2">
        <w:t>2</w:t>
      </w:r>
      <w:r w:rsidR="00AA673D">
        <w:t>1</w:t>
      </w:r>
      <w:r w:rsidRPr="00BB7E09">
        <w:t xml:space="preserve">% of our respondents have not experienced crunch in 2014. </w:t>
      </w:r>
      <w:r w:rsidR="00135D8A" w:rsidRPr="00BB7E09">
        <w:t>Still, that means that more than three quarters of the respondents have experienced crunch in the last 2 years, which means it’s still part and parcel of the trade.</w:t>
      </w:r>
    </w:p>
    <w:p w:rsidR="00ED0E89" w:rsidRDefault="00ED0E89" w:rsidP="00ED0E89">
      <w:pPr>
        <w:pStyle w:val="Heading5"/>
        <w:rPr>
          <w:shd w:val="clear" w:color="auto" w:fill="FFFFFF"/>
          <w:lang w:val="en-CA"/>
        </w:rPr>
      </w:pPr>
      <w:r>
        <w:rPr>
          <w:shd w:val="clear" w:color="auto" w:fill="FFFFFF"/>
          <w:lang w:val="en-CA"/>
        </w:rPr>
        <w:t>Table 5</w:t>
      </w:r>
    </w:p>
    <w:p w:rsidR="00ED0E89" w:rsidRPr="00EA0FF7" w:rsidRDefault="00ED0E89" w:rsidP="00ED0E89">
      <w:pPr>
        <w:pStyle w:val="Heading5"/>
        <w:rPr>
          <w:shd w:val="clear" w:color="auto" w:fill="FFFFFF"/>
          <w:lang w:val="en-CA"/>
        </w:rPr>
      </w:pPr>
      <w:r w:rsidRPr="00EA0FF7">
        <w:rPr>
          <w:shd w:val="clear" w:color="auto" w:fill="FFFFFF"/>
          <w:lang w:val="en-CA"/>
        </w:rPr>
        <w:t xml:space="preserve">Have you experienced crunch time in the past 2 </w:t>
      </w:r>
      <w:r w:rsidRPr="00BA70E3">
        <w:rPr>
          <w:shd w:val="clear" w:color="auto" w:fill="FFFFFF"/>
          <w:lang w:val="en-CA"/>
        </w:rPr>
        <w:t>years? (2014)</w:t>
      </w:r>
    </w:p>
    <w:tbl>
      <w:tblPr>
        <w:tblW w:w="5652" w:type="dxa"/>
        <w:tblInd w:w="15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CellMar>
          <w:left w:w="0" w:type="dxa"/>
          <w:right w:w="0" w:type="dxa"/>
        </w:tblCellMar>
        <w:tblLook w:val="0000" w:firstRow="0" w:lastRow="0" w:firstColumn="0" w:lastColumn="0" w:noHBand="0" w:noVBand="0"/>
      </w:tblPr>
      <w:tblGrid>
        <w:gridCol w:w="2272"/>
        <w:gridCol w:w="1690"/>
        <w:gridCol w:w="1690"/>
      </w:tblGrid>
      <w:tr w:rsidR="00ED0E89" w:rsidRPr="00EA0FF7" w:rsidTr="00E17D21">
        <w:trPr>
          <w:cantSplit/>
        </w:trPr>
        <w:tc>
          <w:tcPr>
            <w:tcW w:w="2272" w:type="dxa"/>
            <w:shd w:val="clear" w:color="auto" w:fill="D9D9D9"/>
            <w:vAlign w:val="center"/>
          </w:tcPr>
          <w:p w:rsidR="00ED0E89" w:rsidRPr="00EA0FF7" w:rsidRDefault="00ED0E89" w:rsidP="003F6C69">
            <w:pPr>
              <w:pStyle w:val="chiffres"/>
              <w:rPr>
                <w:lang w:val="en-CA"/>
              </w:rPr>
            </w:pPr>
            <w:r w:rsidRPr="00EA0FF7">
              <w:rPr>
                <w:lang w:val="en-CA"/>
              </w:rPr>
              <w:t>Crunch</w:t>
            </w:r>
          </w:p>
        </w:tc>
        <w:tc>
          <w:tcPr>
            <w:tcW w:w="1690" w:type="dxa"/>
            <w:shd w:val="clear" w:color="auto" w:fill="D9D9D9"/>
          </w:tcPr>
          <w:p w:rsidR="00ED0E89" w:rsidRPr="00EA0FF7" w:rsidRDefault="00ED0E89" w:rsidP="003F6C69">
            <w:pPr>
              <w:pStyle w:val="chiffres"/>
              <w:rPr>
                <w:lang w:val="en-CA"/>
              </w:rPr>
            </w:pPr>
            <w:r w:rsidRPr="00EA0FF7">
              <w:rPr>
                <w:lang w:val="en-CA"/>
              </w:rPr>
              <w:t>%</w:t>
            </w:r>
          </w:p>
        </w:tc>
        <w:tc>
          <w:tcPr>
            <w:tcW w:w="1690" w:type="dxa"/>
            <w:shd w:val="clear" w:color="auto" w:fill="D9D9D9"/>
          </w:tcPr>
          <w:p w:rsidR="00ED0E89" w:rsidRPr="00EA0FF7" w:rsidRDefault="00ED0E89" w:rsidP="003F6C69">
            <w:pPr>
              <w:pStyle w:val="chiffres"/>
              <w:rPr>
                <w:lang w:val="en-CA"/>
              </w:rPr>
            </w:pPr>
            <w:r w:rsidRPr="00EA0FF7">
              <w:rPr>
                <w:lang w:val="en-CA"/>
              </w:rPr>
              <w:t>Aggregated %</w:t>
            </w:r>
          </w:p>
        </w:tc>
      </w:tr>
      <w:tr w:rsidR="00ED0E89" w:rsidRPr="00EA0FF7" w:rsidTr="00E17D21">
        <w:trPr>
          <w:cantSplit/>
        </w:trPr>
        <w:tc>
          <w:tcPr>
            <w:tcW w:w="2272" w:type="dxa"/>
            <w:shd w:val="clear" w:color="auto" w:fill="FFFF00"/>
            <w:vAlign w:val="center"/>
          </w:tcPr>
          <w:p w:rsidR="00ED0E89" w:rsidRPr="00EA0FF7" w:rsidRDefault="00ED0E89" w:rsidP="003F6C69">
            <w:pPr>
              <w:pStyle w:val="chiffres2"/>
            </w:pPr>
            <w:r w:rsidRPr="00EA0FF7">
              <w:t>No</w:t>
            </w:r>
          </w:p>
        </w:tc>
        <w:tc>
          <w:tcPr>
            <w:tcW w:w="1690" w:type="dxa"/>
            <w:shd w:val="clear" w:color="auto" w:fill="FFFF00"/>
          </w:tcPr>
          <w:p w:rsidR="00ED0E89" w:rsidRPr="00EA0FF7" w:rsidRDefault="00020CC2" w:rsidP="00264A8E">
            <w:pPr>
              <w:pStyle w:val="chiffres2"/>
              <w:jc w:val="center"/>
            </w:pPr>
            <w:r>
              <w:t>2</w:t>
            </w:r>
            <w:r w:rsidR="00AA673D">
              <w:t>1</w:t>
            </w:r>
          </w:p>
        </w:tc>
        <w:tc>
          <w:tcPr>
            <w:tcW w:w="1690" w:type="dxa"/>
            <w:shd w:val="clear" w:color="auto" w:fill="FFFF00"/>
          </w:tcPr>
          <w:p w:rsidR="00ED0E89" w:rsidRPr="00EA0FF7" w:rsidRDefault="00020CC2" w:rsidP="00264A8E">
            <w:pPr>
              <w:pStyle w:val="chiffres2"/>
              <w:jc w:val="center"/>
            </w:pPr>
            <w:r w:rsidRPr="00020CC2">
              <w:t>2</w:t>
            </w:r>
            <w:r w:rsidR="00AA673D">
              <w:t>1</w:t>
            </w:r>
          </w:p>
        </w:tc>
      </w:tr>
      <w:tr w:rsidR="00ED0E89" w:rsidRPr="00EA0FF7" w:rsidTr="00E17D21">
        <w:trPr>
          <w:cantSplit/>
        </w:trPr>
        <w:tc>
          <w:tcPr>
            <w:tcW w:w="2272" w:type="dxa"/>
            <w:shd w:val="clear" w:color="auto" w:fill="D9D9D9"/>
            <w:vAlign w:val="center"/>
          </w:tcPr>
          <w:p w:rsidR="00ED0E89" w:rsidRPr="00EA0FF7" w:rsidRDefault="00ED0E89" w:rsidP="003F6C69">
            <w:pPr>
              <w:pStyle w:val="chiffres2"/>
            </w:pPr>
            <w:r w:rsidRPr="00EA0FF7">
              <w:t>Once</w:t>
            </w:r>
          </w:p>
        </w:tc>
        <w:tc>
          <w:tcPr>
            <w:tcW w:w="1690" w:type="dxa"/>
            <w:shd w:val="clear" w:color="auto" w:fill="D9D9D9"/>
          </w:tcPr>
          <w:p w:rsidR="00ED0E89" w:rsidRPr="00EA0FF7" w:rsidRDefault="00ED0E89" w:rsidP="00264A8E">
            <w:pPr>
              <w:pStyle w:val="chiffres2"/>
              <w:jc w:val="center"/>
            </w:pPr>
            <w:r>
              <w:t>19</w:t>
            </w:r>
          </w:p>
        </w:tc>
        <w:tc>
          <w:tcPr>
            <w:tcW w:w="1690" w:type="dxa"/>
            <w:vMerge w:val="restart"/>
            <w:shd w:val="clear" w:color="auto" w:fill="D9D9D9"/>
          </w:tcPr>
          <w:p w:rsidR="00ED0E89" w:rsidRPr="00EA0FF7" w:rsidRDefault="00ED0E89" w:rsidP="00264A8E">
            <w:pPr>
              <w:pStyle w:val="chiffres2"/>
              <w:jc w:val="center"/>
            </w:pPr>
            <w:r>
              <w:t>80</w:t>
            </w:r>
          </w:p>
        </w:tc>
      </w:tr>
      <w:tr w:rsidR="00ED0E89" w:rsidRPr="00EA0FF7" w:rsidTr="00E17D21">
        <w:trPr>
          <w:cantSplit/>
        </w:trPr>
        <w:tc>
          <w:tcPr>
            <w:tcW w:w="2272" w:type="dxa"/>
            <w:shd w:val="clear" w:color="auto" w:fill="D9D9D9"/>
            <w:vAlign w:val="center"/>
          </w:tcPr>
          <w:p w:rsidR="00ED0E89" w:rsidRPr="00EA0FF7" w:rsidRDefault="00ED0E89" w:rsidP="003F6C69">
            <w:pPr>
              <w:pStyle w:val="chiffres2"/>
            </w:pPr>
            <w:proofErr w:type="spellStart"/>
            <w:r w:rsidRPr="00EA0FF7">
              <w:t>Twice</w:t>
            </w:r>
            <w:proofErr w:type="spellEnd"/>
          </w:p>
        </w:tc>
        <w:tc>
          <w:tcPr>
            <w:tcW w:w="1690" w:type="dxa"/>
            <w:shd w:val="clear" w:color="auto" w:fill="D9D9D9"/>
          </w:tcPr>
          <w:p w:rsidR="00ED0E89" w:rsidRPr="00EA0FF7" w:rsidRDefault="00ED0E89" w:rsidP="00264A8E">
            <w:pPr>
              <w:pStyle w:val="chiffres2"/>
              <w:jc w:val="center"/>
            </w:pPr>
            <w:r>
              <w:t>19</w:t>
            </w:r>
          </w:p>
        </w:tc>
        <w:tc>
          <w:tcPr>
            <w:tcW w:w="1690" w:type="dxa"/>
            <w:vMerge/>
            <w:shd w:val="clear" w:color="auto" w:fill="D9D9D9"/>
          </w:tcPr>
          <w:p w:rsidR="00ED0E89" w:rsidRPr="00EA0FF7" w:rsidRDefault="00ED0E89" w:rsidP="003F6C69">
            <w:pPr>
              <w:pStyle w:val="chiffres2"/>
            </w:pPr>
          </w:p>
        </w:tc>
      </w:tr>
      <w:tr w:rsidR="00ED0E89" w:rsidRPr="00EA0FF7" w:rsidTr="00E17D21">
        <w:trPr>
          <w:cantSplit/>
        </w:trPr>
        <w:tc>
          <w:tcPr>
            <w:tcW w:w="2272" w:type="dxa"/>
            <w:shd w:val="clear" w:color="auto" w:fill="D9D9D9"/>
            <w:vAlign w:val="center"/>
          </w:tcPr>
          <w:p w:rsidR="00ED0E89" w:rsidRPr="00EA0FF7" w:rsidRDefault="00ED0E89" w:rsidP="003F6C69">
            <w:pPr>
              <w:pStyle w:val="chiffres2"/>
            </w:pPr>
            <w:r w:rsidRPr="00EA0FF7">
              <w:t xml:space="preserve">More </w:t>
            </w:r>
            <w:proofErr w:type="spellStart"/>
            <w:r w:rsidRPr="00EA0FF7">
              <w:t>than</w:t>
            </w:r>
            <w:proofErr w:type="spellEnd"/>
            <w:r w:rsidRPr="00EA0FF7">
              <w:t xml:space="preserve"> </w:t>
            </w:r>
            <w:proofErr w:type="spellStart"/>
            <w:r w:rsidRPr="00EA0FF7">
              <w:t>twice</w:t>
            </w:r>
            <w:proofErr w:type="spellEnd"/>
          </w:p>
        </w:tc>
        <w:tc>
          <w:tcPr>
            <w:tcW w:w="1690" w:type="dxa"/>
            <w:shd w:val="clear" w:color="auto" w:fill="D9D9D9"/>
          </w:tcPr>
          <w:p w:rsidR="00ED0E89" w:rsidRPr="00EA0FF7" w:rsidRDefault="00ED0E89" w:rsidP="00264A8E">
            <w:pPr>
              <w:pStyle w:val="chiffres2"/>
              <w:jc w:val="center"/>
            </w:pPr>
            <w:r>
              <w:t>42</w:t>
            </w:r>
          </w:p>
        </w:tc>
        <w:tc>
          <w:tcPr>
            <w:tcW w:w="1690" w:type="dxa"/>
            <w:vMerge/>
            <w:shd w:val="clear" w:color="auto" w:fill="D9D9D9"/>
          </w:tcPr>
          <w:p w:rsidR="00ED0E89" w:rsidRPr="00EA0FF7" w:rsidRDefault="00ED0E89" w:rsidP="003F6C69">
            <w:pPr>
              <w:pStyle w:val="chiffres2"/>
            </w:pPr>
          </w:p>
        </w:tc>
      </w:tr>
    </w:tbl>
    <w:p w:rsidR="000B559F" w:rsidRDefault="000B559F">
      <w:pPr>
        <w:jc w:val="left"/>
        <w:rPr>
          <w:rFonts w:ascii="Calibri" w:hAnsi="Calibri"/>
          <w:b/>
          <w:sz w:val="20"/>
          <w:lang w:val="en-CA"/>
        </w:rPr>
      </w:pPr>
    </w:p>
    <w:p w:rsidR="00ED0E89" w:rsidRDefault="00D97B1A" w:rsidP="00ED0E89">
      <w:pPr>
        <w:pStyle w:val="Heading5"/>
        <w:rPr>
          <w:lang w:val="en-CA"/>
        </w:rPr>
      </w:pPr>
      <w:r>
        <w:rPr>
          <w:lang w:val="en-CA"/>
        </w:rPr>
        <w:t>Chart </w:t>
      </w:r>
      <w:r w:rsidR="00ED0E89">
        <w:rPr>
          <w:lang w:val="en-CA"/>
        </w:rPr>
        <w:t>4</w:t>
      </w:r>
    </w:p>
    <w:p w:rsidR="00ED0E89" w:rsidRPr="006C7C17" w:rsidRDefault="00ED0E89" w:rsidP="00ED0E89">
      <w:pPr>
        <w:pStyle w:val="Heading5"/>
      </w:pPr>
      <w:r w:rsidRPr="006C7C17">
        <w:rPr>
          <w:lang w:val="en-CA"/>
        </w:rPr>
        <w:t>Have you experienced crunch time in the past 2 years? (2014)</w:t>
      </w:r>
    </w:p>
    <w:p w:rsidR="00ED0E89" w:rsidRDefault="00335BFF" w:rsidP="00ED0E89">
      <w:pPr>
        <w:pStyle w:val="figure"/>
      </w:pPr>
      <w:r>
        <w:rPr>
          <w:noProof/>
          <w:lang w:val="en-CA" w:eastAsia="en-CA"/>
        </w:rPr>
        <w:drawing>
          <wp:inline distT="0" distB="0" distL="0" distR="0" wp14:anchorId="6D76EB89" wp14:editId="0636C6E8">
            <wp:extent cx="5332095" cy="3218180"/>
            <wp:effectExtent l="0" t="0" r="20955" b="20320"/>
            <wp:docPr id="4"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A673D" w:rsidRDefault="00AA673D" w:rsidP="00AA673D">
      <w:pPr>
        <w:pStyle w:val="p"/>
      </w:pPr>
    </w:p>
    <w:p w:rsidR="00AA673D" w:rsidRPr="00ED0E89" w:rsidRDefault="00AA673D" w:rsidP="00AA673D">
      <w:pPr>
        <w:pStyle w:val="p"/>
      </w:pPr>
      <w:r w:rsidRPr="00ED0E89">
        <w:t>The next question</w:t>
      </w:r>
      <w:r>
        <w:t>, “Do you feel that crunch time is expected at your workplace as a normal part of your job,”</w:t>
      </w:r>
      <w:r w:rsidRPr="00ED0E89">
        <w:t xml:space="preserve"> </w:t>
      </w:r>
      <w:r>
        <w:t xml:space="preserve">(Table 6, </w:t>
      </w:r>
      <w:r w:rsidR="00D97B1A">
        <w:t>Chart </w:t>
      </w:r>
      <w:r>
        <w:t xml:space="preserve">5) </w:t>
      </w:r>
      <w:r w:rsidRPr="00ED0E89">
        <w:t xml:space="preserve">was also asked for the first time in </w:t>
      </w:r>
      <w:r>
        <w:t>2014</w:t>
      </w:r>
      <w:r w:rsidRPr="00ED0E89">
        <w:t xml:space="preserve">. </w:t>
      </w:r>
      <w:r>
        <w:t xml:space="preserve">Given that 54% of respondents answered “yes” and a further 11% said they were “not sure”, we must again </w:t>
      </w:r>
      <w:r w:rsidRPr="00ED0E89">
        <w:lastRenderedPageBreak/>
        <w:t xml:space="preserve">acknowledge that </w:t>
      </w:r>
      <w:r w:rsidR="000F2669">
        <w:t xml:space="preserve">a large portion of the sample </w:t>
      </w:r>
      <w:r w:rsidRPr="00ED0E89">
        <w:t xml:space="preserve">considers crunch time as part and parcel of </w:t>
      </w:r>
      <w:r w:rsidR="000F2669">
        <w:t>projects or video game development</w:t>
      </w:r>
      <w:r w:rsidRPr="00ED0E89">
        <w:t xml:space="preserve">. </w:t>
      </w:r>
    </w:p>
    <w:p w:rsidR="00AA673D" w:rsidRPr="00BA70E3" w:rsidRDefault="00AA673D" w:rsidP="00BA70E3">
      <w:pPr>
        <w:pStyle w:val="Heading5"/>
        <w:rPr>
          <w:lang w:val="en-CA"/>
        </w:rPr>
      </w:pPr>
      <w:r w:rsidRPr="00BA70E3">
        <w:rPr>
          <w:lang w:val="en-CA"/>
        </w:rPr>
        <w:t>Table 6</w:t>
      </w:r>
    </w:p>
    <w:p w:rsidR="00AA673D" w:rsidRPr="00BA70E3" w:rsidRDefault="00AA673D" w:rsidP="00BA70E3">
      <w:pPr>
        <w:pStyle w:val="Heading5"/>
        <w:rPr>
          <w:lang w:val="en-CA"/>
        </w:rPr>
      </w:pPr>
      <w:r w:rsidRPr="00BA70E3">
        <w:rPr>
          <w:lang w:val="en-CA"/>
        </w:rPr>
        <w:t xml:space="preserve">Do you feel that crunch time is expected at your workplace as a normal part of your job? </w:t>
      </w:r>
      <w:r w:rsidR="00C10941" w:rsidRPr="00BA70E3">
        <w:rPr>
          <w:lang w:val="en-CA"/>
        </w:rPr>
        <w:t>(</w:t>
      </w:r>
      <w:r w:rsidRPr="00BA70E3">
        <w:rPr>
          <w:lang w:val="en-CA"/>
        </w:rPr>
        <w:t>2014</w:t>
      </w:r>
      <w:r w:rsidR="00C10941" w:rsidRPr="00BA70E3">
        <w:rPr>
          <w:lang w:val="en-CA"/>
        </w:rPr>
        <w:t>)</w:t>
      </w:r>
    </w:p>
    <w:tbl>
      <w:tblPr>
        <w:tblW w:w="4560" w:type="dxa"/>
        <w:tblInd w:w="15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CellMar>
          <w:left w:w="0" w:type="dxa"/>
          <w:right w:w="0" w:type="dxa"/>
        </w:tblCellMar>
        <w:tblLook w:val="0000" w:firstRow="0" w:lastRow="0" w:firstColumn="0" w:lastColumn="0" w:noHBand="0" w:noVBand="0"/>
      </w:tblPr>
      <w:tblGrid>
        <w:gridCol w:w="2763"/>
        <w:gridCol w:w="1797"/>
      </w:tblGrid>
      <w:tr w:rsidR="00AA673D" w:rsidRPr="00EA0FF7" w:rsidTr="00426FB0">
        <w:trPr>
          <w:cantSplit/>
        </w:trPr>
        <w:tc>
          <w:tcPr>
            <w:tcW w:w="2763" w:type="dxa"/>
            <w:shd w:val="clear" w:color="auto" w:fill="D9D9D9"/>
          </w:tcPr>
          <w:p w:rsidR="00AA673D" w:rsidRPr="00EA0FF7" w:rsidRDefault="00AA673D" w:rsidP="005D5FB5">
            <w:pPr>
              <w:pStyle w:val="chiffres"/>
              <w:rPr>
                <w:lang w:val="en-CA"/>
              </w:rPr>
            </w:pPr>
            <w:r w:rsidRPr="00EA0FF7">
              <w:rPr>
                <w:lang w:val="en-CA"/>
              </w:rPr>
              <w:t>Crunch time is a normal part of your job</w:t>
            </w:r>
            <w:r w:rsidRPr="00EA0FF7">
              <w:rPr>
                <w:shd w:val="clear" w:color="auto" w:fill="FFFFFF"/>
                <w:lang w:val="en-CA"/>
              </w:rPr>
              <w:t xml:space="preserve"> </w:t>
            </w:r>
          </w:p>
        </w:tc>
        <w:tc>
          <w:tcPr>
            <w:tcW w:w="1797" w:type="dxa"/>
            <w:shd w:val="clear" w:color="auto" w:fill="D9D9D9"/>
          </w:tcPr>
          <w:p w:rsidR="00AA673D" w:rsidRPr="00EA0FF7" w:rsidRDefault="00AA673D" w:rsidP="005D5FB5">
            <w:pPr>
              <w:pStyle w:val="chiffres"/>
              <w:rPr>
                <w:lang w:val="en-CA"/>
              </w:rPr>
            </w:pPr>
            <w:r w:rsidRPr="00EA0FF7">
              <w:rPr>
                <w:lang w:val="en-CA"/>
              </w:rPr>
              <w:t>%</w:t>
            </w:r>
            <w:r w:rsidR="00426FB0">
              <w:rPr>
                <w:lang w:val="en-CA"/>
              </w:rPr>
              <w:t xml:space="preserve"> of respondents</w:t>
            </w:r>
          </w:p>
        </w:tc>
      </w:tr>
      <w:tr w:rsidR="00AA673D" w:rsidRPr="00EA0FF7" w:rsidTr="00426FB0">
        <w:trPr>
          <w:cantSplit/>
        </w:trPr>
        <w:tc>
          <w:tcPr>
            <w:tcW w:w="2763" w:type="dxa"/>
            <w:shd w:val="clear" w:color="auto" w:fill="D9D9D9"/>
          </w:tcPr>
          <w:p w:rsidR="00AA673D" w:rsidRPr="00EA0FF7" w:rsidRDefault="00AA673D" w:rsidP="005D5FB5">
            <w:pPr>
              <w:pStyle w:val="chiffres2"/>
            </w:pPr>
            <w:r w:rsidRPr="00EA0FF7">
              <w:t>No</w:t>
            </w:r>
          </w:p>
        </w:tc>
        <w:tc>
          <w:tcPr>
            <w:tcW w:w="1797" w:type="dxa"/>
            <w:shd w:val="clear" w:color="auto" w:fill="D9D9D9"/>
          </w:tcPr>
          <w:p w:rsidR="00AA673D" w:rsidRPr="00EA0FF7" w:rsidRDefault="00AA673D" w:rsidP="000F2669">
            <w:pPr>
              <w:pStyle w:val="chiffres2"/>
              <w:jc w:val="center"/>
            </w:pPr>
            <w:r>
              <w:t>35</w:t>
            </w:r>
          </w:p>
        </w:tc>
      </w:tr>
      <w:tr w:rsidR="00AA673D" w:rsidRPr="00EA0FF7" w:rsidTr="00426FB0">
        <w:trPr>
          <w:cantSplit/>
        </w:trPr>
        <w:tc>
          <w:tcPr>
            <w:tcW w:w="2763" w:type="dxa"/>
            <w:shd w:val="clear" w:color="auto" w:fill="FFFF00"/>
          </w:tcPr>
          <w:p w:rsidR="00AA673D" w:rsidRPr="00EA0FF7" w:rsidRDefault="00AA673D" w:rsidP="005D5FB5">
            <w:pPr>
              <w:pStyle w:val="chiffres2"/>
            </w:pPr>
            <w:proofErr w:type="spellStart"/>
            <w:r w:rsidRPr="00EA0FF7">
              <w:t>Yes</w:t>
            </w:r>
            <w:proofErr w:type="spellEnd"/>
          </w:p>
        </w:tc>
        <w:tc>
          <w:tcPr>
            <w:tcW w:w="1797" w:type="dxa"/>
            <w:shd w:val="clear" w:color="auto" w:fill="FFFF00"/>
          </w:tcPr>
          <w:p w:rsidR="00AA673D" w:rsidRPr="00EA0FF7" w:rsidRDefault="00AA673D" w:rsidP="000F2669">
            <w:pPr>
              <w:pStyle w:val="chiffres2"/>
              <w:jc w:val="center"/>
            </w:pPr>
            <w:r>
              <w:t>54</w:t>
            </w:r>
          </w:p>
        </w:tc>
      </w:tr>
      <w:tr w:rsidR="00AA673D" w:rsidRPr="00EA0FF7" w:rsidTr="00426FB0">
        <w:trPr>
          <w:cantSplit/>
        </w:trPr>
        <w:tc>
          <w:tcPr>
            <w:tcW w:w="2763" w:type="dxa"/>
            <w:shd w:val="clear" w:color="auto" w:fill="D9D9D9"/>
          </w:tcPr>
          <w:p w:rsidR="00AA673D" w:rsidRPr="00EA0FF7" w:rsidRDefault="00AA673D" w:rsidP="005D5FB5">
            <w:pPr>
              <w:pStyle w:val="chiffres2"/>
            </w:pPr>
            <w:r w:rsidRPr="00EA0FF7">
              <w:t>Not sure</w:t>
            </w:r>
          </w:p>
        </w:tc>
        <w:tc>
          <w:tcPr>
            <w:tcW w:w="1797" w:type="dxa"/>
            <w:shd w:val="clear" w:color="auto" w:fill="D9D9D9"/>
          </w:tcPr>
          <w:p w:rsidR="00AA673D" w:rsidRPr="00EA0FF7" w:rsidRDefault="00AA673D" w:rsidP="000F2669">
            <w:pPr>
              <w:pStyle w:val="chiffres2"/>
              <w:jc w:val="center"/>
            </w:pPr>
            <w:r w:rsidRPr="00EA0FF7">
              <w:t>11</w:t>
            </w:r>
          </w:p>
        </w:tc>
      </w:tr>
    </w:tbl>
    <w:p w:rsidR="00AA673D" w:rsidRDefault="00AA673D" w:rsidP="00AA673D">
      <w:pPr>
        <w:pStyle w:val="Heading5"/>
        <w:rPr>
          <w:lang w:val="en-CA"/>
        </w:rPr>
      </w:pPr>
    </w:p>
    <w:p w:rsidR="00AA673D" w:rsidRPr="00BA70E3" w:rsidRDefault="00D97B1A" w:rsidP="00BA70E3">
      <w:pPr>
        <w:pStyle w:val="Heading5"/>
        <w:rPr>
          <w:lang w:val="en-CA"/>
        </w:rPr>
      </w:pPr>
      <w:r>
        <w:rPr>
          <w:lang w:val="en-CA"/>
        </w:rPr>
        <w:t>Chart </w:t>
      </w:r>
      <w:r w:rsidR="00AA673D" w:rsidRPr="00BA70E3">
        <w:rPr>
          <w:lang w:val="en-CA"/>
        </w:rPr>
        <w:t>5</w:t>
      </w:r>
    </w:p>
    <w:p w:rsidR="00AA673D" w:rsidRPr="00BA70E3" w:rsidRDefault="00AA673D" w:rsidP="00BA70E3">
      <w:pPr>
        <w:pStyle w:val="Heading5"/>
        <w:rPr>
          <w:lang w:val="en-CA"/>
        </w:rPr>
      </w:pPr>
      <w:r w:rsidRPr="00BA70E3">
        <w:rPr>
          <w:lang w:val="en-CA"/>
        </w:rPr>
        <w:t xml:space="preserve">Do you feel that crunch time is expected at your workplace as a normal part of your job? (2014) </w:t>
      </w:r>
    </w:p>
    <w:p w:rsidR="00AA673D" w:rsidRDefault="00AA673D" w:rsidP="00AA673D">
      <w:pPr>
        <w:pStyle w:val="figure"/>
      </w:pPr>
      <w:r>
        <w:rPr>
          <w:noProof/>
          <w:lang w:val="en-CA" w:eastAsia="en-CA"/>
        </w:rPr>
        <w:drawing>
          <wp:inline distT="0" distB="0" distL="0" distR="0" wp14:anchorId="7E79678D" wp14:editId="1286920C">
            <wp:extent cx="5332095" cy="2848610"/>
            <wp:effectExtent l="0" t="0" r="20955" b="27940"/>
            <wp:docPr id="6" name="Graphique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0E89" w:rsidRDefault="00ED0E89" w:rsidP="00763264">
      <w:pPr>
        <w:pStyle w:val="p"/>
      </w:pPr>
    </w:p>
    <w:p w:rsidR="00ED0E89" w:rsidRDefault="00ED0E89" w:rsidP="00ED0E89">
      <w:pPr>
        <w:pStyle w:val="Heading2"/>
        <w:rPr>
          <w:lang w:val="en-CA"/>
        </w:rPr>
      </w:pPr>
      <w:bookmarkStart w:id="22" w:name="_Toc428799767"/>
      <w:r w:rsidRPr="00E85018">
        <w:rPr>
          <w:lang w:val="en-CA"/>
        </w:rPr>
        <w:t>Is it possible to refuse to crunch?</w:t>
      </w:r>
      <w:bookmarkEnd w:id="22"/>
    </w:p>
    <w:p w:rsidR="009361D5" w:rsidRDefault="000F2669" w:rsidP="009361D5">
      <w:pPr>
        <w:pStyle w:val="p"/>
      </w:pPr>
      <w:r w:rsidRPr="00BA70E3">
        <w:t xml:space="preserve">The data now present a conundrum. </w:t>
      </w:r>
      <w:r w:rsidRPr="00F35D45">
        <w:t>H</w:t>
      </w:r>
      <w:r w:rsidR="00ED0E89" w:rsidRPr="00F35D45">
        <w:t xml:space="preserve">ow can </w:t>
      </w:r>
      <w:r w:rsidRPr="00F35D45">
        <w:t xml:space="preserve">a relatively high proportion (21%) of respondents say that they have not experienced crunch in the past two years </w:t>
      </w:r>
      <w:r w:rsidR="00426FB0">
        <w:t>(T</w:t>
      </w:r>
      <w:r w:rsidR="00213B42" w:rsidRPr="00F35D45">
        <w:t xml:space="preserve">able 5) </w:t>
      </w:r>
      <w:r w:rsidRPr="00F35D45">
        <w:t>when 54% say that it is expected as a normal part of the job</w:t>
      </w:r>
      <w:r w:rsidR="00426FB0">
        <w:t xml:space="preserve"> (T</w:t>
      </w:r>
      <w:r w:rsidR="00BA4FD6" w:rsidRPr="00F35D45">
        <w:t>able 6)</w:t>
      </w:r>
      <w:r w:rsidRPr="00F35D45">
        <w:t>, and</w:t>
      </w:r>
      <w:r w:rsidR="00ED0E89" w:rsidRPr="00F35D45">
        <w:t xml:space="preserve"> only 8% of respondents </w:t>
      </w:r>
      <w:r w:rsidRPr="00F35D45">
        <w:t xml:space="preserve">say that their </w:t>
      </w:r>
      <w:r w:rsidR="00ED0E89" w:rsidRPr="00F35D45">
        <w:t>studio</w:t>
      </w:r>
      <w:r w:rsidR="00426FB0">
        <w:t xml:space="preserve"> practice is to</w:t>
      </w:r>
      <w:r w:rsidR="00ED0E89" w:rsidRPr="00F35D45">
        <w:t xml:space="preserve"> </w:t>
      </w:r>
      <w:r w:rsidR="00426FB0">
        <w:t>never have</w:t>
      </w:r>
      <w:r w:rsidRPr="00F35D45">
        <w:t xml:space="preserve"> </w:t>
      </w:r>
      <w:r w:rsidR="00ED0E89" w:rsidRPr="00F35D45">
        <w:t>crunch time</w:t>
      </w:r>
      <w:r w:rsidR="00426FB0">
        <w:t xml:space="preserve"> (T</w:t>
      </w:r>
      <w:r w:rsidR="00BA4FD6" w:rsidRPr="00F35D45">
        <w:t>able 4)</w:t>
      </w:r>
      <w:r w:rsidR="00ED0E89" w:rsidRPr="00F35D45">
        <w:t xml:space="preserve">? </w:t>
      </w:r>
      <w:r w:rsidR="00B0521C">
        <w:t xml:space="preserve">One explanation lies </w:t>
      </w:r>
      <w:r w:rsidR="00B0521C" w:rsidRPr="00F35D45">
        <w:t xml:space="preserve">in the definition of ‘rarely’. </w:t>
      </w:r>
    </w:p>
    <w:p w:rsidR="00B0521C" w:rsidRDefault="00B0521C" w:rsidP="009361D5">
      <w:pPr>
        <w:pStyle w:val="p"/>
      </w:pPr>
      <w:r>
        <w:t>As we saw above, also in Table 4</w:t>
      </w:r>
      <w:r w:rsidRPr="00BA70E3">
        <w:t>, 44% of respondents said that their company crunches very rarely and does everything they can to avoid it</w:t>
      </w:r>
      <w:r w:rsidR="004A6849">
        <w:t xml:space="preserve"> in 2014</w:t>
      </w:r>
      <w:r>
        <w:t>. When we compared the</w:t>
      </w:r>
      <w:r w:rsidR="00426FB0">
        <w:t xml:space="preserve"> </w:t>
      </w:r>
      <w:r w:rsidR="009B26DD" w:rsidRPr="009B26DD">
        <w:lastRenderedPageBreak/>
        <w:t xml:space="preserve">individual’s </w:t>
      </w:r>
      <w:r w:rsidR="00426FB0">
        <w:t>responses for the question</w:t>
      </w:r>
      <w:r>
        <w:t>,</w:t>
      </w:r>
      <w:r w:rsidR="00426FB0">
        <w:t xml:space="preserve"> ‘How does your company manage crunch time’ (Table 4) with the responses for the question</w:t>
      </w:r>
      <w:r>
        <w:t>,</w:t>
      </w:r>
      <w:r w:rsidR="00426FB0">
        <w:t xml:space="preserve"> ‘Have you experienced crunch time in t</w:t>
      </w:r>
      <w:r>
        <w:t xml:space="preserve">he last two years?’ (Table 5), we found that 42% of the people who did not crunch in the last two years work at studios with no crunch policies and 44% work at studios that crunch rarely and try to avoid it. </w:t>
      </w:r>
    </w:p>
    <w:p w:rsidR="00851CB3" w:rsidRPr="009B26DD" w:rsidRDefault="00B0521C" w:rsidP="00B0521C">
      <w:pPr>
        <w:pStyle w:val="p"/>
      </w:pPr>
      <w:r w:rsidRPr="009B26DD">
        <w:t>However, in looking at this same cross-tabulation, w</w:t>
      </w:r>
      <w:r w:rsidR="00426FB0" w:rsidRPr="009B26DD">
        <w:t xml:space="preserve">e find that </w:t>
      </w:r>
      <w:r w:rsidRPr="009B26DD">
        <w:t>though company policies contribute to the pattern of crunch seen among game developers, other factors may override those policies. A</w:t>
      </w:r>
      <w:r w:rsidR="00426FB0" w:rsidRPr="009B26DD">
        <w:t>mong the people who said that their studios do not have crunch time</w:t>
      </w:r>
      <w:r w:rsidR="00C57A85" w:rsidRPr="009B26DD">
        <w:t xml:space="preserve"> (</w:t>
      </w:r>
      <w:r w:rsidR="00152305" w:rsidRPr="009B26DD">
        <w:t xml:space="preserve">second line, </w:t>
      </w:r>
      <w:r w:rsidR="00C57A85" w:rsidRPr="009B26DD">
        <w:t>table 4)</w:t>
      </w:r>
      <w:r w:rsidR="00426FB0" w:rsidRPr="009B26DD">
        <w:t xml:space="preserve">, </w:t>
      </w:r>
      <w:r w:rsidR="00851CB3" w:rsidRPr="009B26DD">
        <w:t xml:space="preserve">only </w:t>
      </w:r>
      <w:r w:rsidR="00426FB0" w:rsidRPr="009B26DD">
        <w:t>81% of them reported that they did not crunch in the past two years</w:t>
      </w:r>
      <w:r w:rsidR="00851CB3" w:rsidRPr="009B26DD">
        <w:t>,</w:t>
      </w:r>
      <w:r w:rsidR="00426FB0" w:rsidRPr="009B26DD">
        <w:t xml:space="preserve"> </w:t>
      </w:r>
      <w:r w:rsidR="00851CB3" w:rsidRPr="009B26DD">
        <w:t>while</w:t>
      </w:r>
      <w:r w:rsidRPr="009B26DD">
        <w:t xml:space="preserve"> </w:t>
      </w:r>
      <w:r w:rsidR="00426FB0" w:rsidRPr="009B26DD">
        <w:t>6% reported crunching once and 9% reported crunch two or more time in the past two years</w:t>
      </w:r>
      <w:r w:rsidR="00851CB3" w:rsidRPr="009B26DD">
        <w:t xml:space="preserve">; </w:t>
      </w:r>
      <w:r w:rsidRPr="009B26DD">
        <w:t xml:space="preserve">the </w:t>
      </w:r>
      <w:r w:rsidR="00851CB3" w:rsidRPr="009B26DD">
        <w:t>remaining 4% did not know (data not shown)</w:t>
      </w:r>
      <w:r w:rsidR="00426FB0" w:rsidRPr="009B26DD">
        <w:t xml:space="preserve">. </w:t>
      </w:r>
    </w:p>
    <w:p w:rsidR="00B0521C" w:rsidRPr="00BA70E3" w:rsidRDefault="00B0521C" w:rsidP="00B0521C">
      <w:pPr>
        <w:pStyle w:val="p"/>
      </w:pPr>
      <w:r w:rsidRPr="009B26DD">
        <w:t>As well, a</w:t>
      </w:r>
      <w:r w:rsidR="00426FB0" w:rsidRPr="009B26DD">
        <w:t>mong the people who said that their studios crunch rarely and do everything they can to avoid it</w:t>
      </w:r>
      <w:r w:rsidR="00152305" w:rsidRPr="009B26DD">
        <w:t xml:space="preserve"> (first line, table 4)</w:t>
      </w:r>
      <w:proofErr w:type="gramStart"/>
      <w:r w:rsidRPr="009B26DD">
        <w:t>,</w:t>
      </w:r>
      <w:proofErr w:type="gramEnd"/>
      <w:r w:rsidRPr="009B26DD">
        <w:t xml:space="preserve"> only 18.5% said that they did not crunch in the past two years. That leaves 26% who crunched once and 53% who crunched twice or more in the past two years</w:t>
      </w:r>
      <w:r w:rsidR="009B26DD" w:rsidRPr="009B26DD">
        <w:t xml:space="preserve"> (data not shown)</w:t>
      </w:r>
      <w:r w:rsidRPr="009B26DD">
        <w:t>.</w:t>
      </w:r>
      <w:r w:rsidR="009E5EC4">
        <w:t xml:space="preserve"> </w:t>
      </w:r>
    </w:p>
    <w:p w:rsidR="003B46B1" w:rsidRPr="00BA70E3" w:rsidRDefault="00B0521C" w:rsidP="00763264">
      <w:pPr>
        <w:pStyle w:val="p"/>
      </w:pPr>
      <w:r>
        <w:t>This shows that it is important to tease</w:t>
      </w:r>
      <w:r w:rsidR="000F2669" w:rsidRPr="00BA70E3">
        <w:t xml:space="preserve"> out the studio policy </w:t>
      </w:r>
      <w:r w:rsidR="003B46B1" w:rsidRPr="00BA70E3">
        <w:t xml:space="preserve">versus the experience of individual developers. </w:t>
      </w:r>
      <w:r w:rsidR="00ED0E89" w:rsidRPr="00BA70E3">
        <w:t xml:space="preserve">Very likely, </w:t>
      </w:r>
      <w:r w:rsidR="003B46B1" w:rsidRPr="00BA70E3">
        <w:t xml:space="preserve">the majority of studios are practicing crunch </w:t>
      </w:r>
      <w:r w:rsidR="00E85018" w:rsidRPr="00BA70E3">
        <w:t xml:space="preserve">at some level or in some instances </w:t>
      </w:r>
      <w:r w:rsidR="003B46B1" w:rsidRPr="00BA70E3">
        <w:t xml:space="preserve">all the same, but workers on </w:t>
      </w:r>
      <w:r w:rsidR="003B46B1" w:rsidRPr="00BA70E3">
        <w:rPr>
          <w:i/>
        </w:rPr>
        <w:t>some</w:t>
      </w:r>
      <w:r w:rsidR="00E85018" w:rsidRPr="00BA70E3">
        <w:t xml:space="preserve"> projects</w:t>
      </w:r>
      <w:r w:rsidR="003B46B1" w:rsidRPr="00BA70E3">
        <w:t xml:space="preserve"> or </w:t>
      </w:r>
      <w:r w:rsidR="003B46B1" w:rsidRPr="00BA70E3">
        <w:rPr>
          <w:i/>
        </w:rPr>
        <w:t>some</w:t>
      </w:r>
      <w:r w:rsidR="003B46B1" w:rsidRPr="00BA70E3">
        <w:t xml:space="preserve"> individual developers can avoid it or refuse it.</w:t>
      </w:r>
      <w:r w:rsidR="00F35D45">
        <w:t xml:space="preserve">  </w:t>
      </w:r>
    </w:p>
    <w:p w:rsidR="00E85018" w:rsidRPr="00BA70E3" w:rsidRDefault="00E85018" w:rsidP="00763264">
      <w:pPr>
        <w:pStyle w:val="p"/>
      </w:pPr>
      <w:r w:rsidRPr="00BA70E3">
        <w:t>In 2004 the question about company policy on crunch time presented different response options that were then changed in subsequent survey years. However, they can help us to further understand the ability to refuse crunch. As we see in Table 7 (</w:t>
      </w:r>
      <w:r w:rsidR="00D97B1A">
        <w:t>Chart </w:t>
      </w:r>
      <w:r w:rsidRPr="00BA70E3">
        <w:t xml:space="preserve">6), some developers can avoid crunch time sometimes or generally if they are working in a studio that tries to avoid it, but also if they are exempted from it for individual reasons. </w:t>
      </w:r>
    </w:p>
    <w:p w:rsidR="00E85018" w:rsidRDefault="001939AF" w:rsidP="00763264">
      <w:pPr>
        <w:pStyle w:val="p"/>
      </w:pPr>
      <w:r w:rsidRPr="00BA70E3">
        <w:t>Due to the different wording from year to year, we cannot make a detailed comparison of this question to 2014, but we can compare this last option. In 2004 1% of the studios had an outright ban on crunch</w:t>
      </w:r>
      <w:r w:rsidR="00C44C18">
        <w:t xml:space="preserve"> </w:t>
      </w:r>
      <w:r w:rsidR="00C44C18" w:rsidRPr="00ED7BA8">
        <w:rPr>
          <w:highlight w:val="yellow"/>
        </w:rPr>
        <w:t>and 2% of respondents declared not having to work in crunch</w:t>
      </w:r>
      <w:r w:rsidRPr="00BA70E3">
        <w:t xml:space="preserve">, while in 2014 8% reported that their studio policy was not to crunch. </w:t>
      </w:r>
    </w:p>
    <w:p w:rsidR="00ED0E89" w:rsidRPr="00BA70E3" w:rsidRDefault="00E85018" w:rsidP="00BA70E3">
      <w:pPr>
        <w:pStyle w:val="Heading5"/>
        <w:rPr>
          <w:lang w:val="en-CA"/>
        </w:rPr>
      </w:pPr>
      <w:r w:rsidRPr="00BA70E3">
        <w:rPr>
          <w:lang w:val="en-CA"/>
        </w:rPr>
        <w:t>Table 7</w:t>
      </w:r>
    </w:p>
    <w:p w:rsidR="00ED0E89" w:rsidRPr="00BA70E3" w:rsidRDefault="00ED0E89" w:rsidP="00BA70E3">
      <w:pPr>
        <w:pStyle w:val="Heading5"/>
        <w:rPr>
          <w:lang w:val="en-CA"/>
        </w:rPr>
      </w:pPr>
      <w:r w:rsidRPr="00BA70E3">
        <w:rPr>
          <w:lang w:val="en-CA"/>
        </w:rPr>
        <w:t xml:space="preserve">Which of the following assertions best describe your company's policy regarding crunches? </w:t>
      </w:r>
      <w:r w:rsidR="006E1C92" w:rsidRPr="00BA70E3">
        <w:rPr>
          <w:lang w:val="en-CA"/>
        </w:rPr>
        <w:t>(</w:t>
      </w:r>
      <w:r w:rsidRPr="00BA70E3">
        <w:rPr>
          <w:lang w:val="en-CA"/>
        </w:rPr>
        <w:t>2004</w:t>
      </w:r>
      <w:r w:rsidR="006E1C92" w:rsidRPr="00BA70E3">
        <w:rPr>
          <w:lang w:val="en-CA"/>
        </w:rPr>
        <w:t>)</w:t>
      </w:r>
    </w:p>
    <w:tbl>
      <w:tblPr>
        <w:tblW w:w="7938" w:type="dxa"/>
        <w:tblInd w:w="49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CellMar>
          <w:left w:w="70" w:type="dxa"/>
          <w:right w:w="70" w:type="dxa"/>
        </w:tblCellMar>
        <w:tblLook w:val="04A0" w:firstRow="1" w:lastRow="0" w:firstColumn="1" w:lastColumn="0" w:noHBand="0" w:noVBand="1"/>
      </w:tblPr>
      <w:tblGrid>
        <w:gridCol w:w="6804"/>
        <w:gridCol w:w="1134"/>
      </w:tblGrid>
      <w:tr w:rsidR="00ED0E89" w:rsidRPr="00EA0FF7" w:rsidTr="00E17D21">
        <w:trPr>
          <w:trHeight w:val="300"/>
        </w:trPr>
        <w:tc>
          <w:tcPr>
            <w:tcW w:w="6804" w:type="dxa"/>
            <w:shd w:val="clear" w:color="auto" w:fill="D9D9D9"/>
            <w:noWrap/>
            <w:hideMark/>
          </w:tcPr>
          <w:p w:rsidR="00ED0E89" w:rsidRPr="00EA0FF7" w:rsidRDefault="00ED0E89" w:rsidP="003F6C69">
            <w:pPr>
              <w:pStyle w:val="chiffres"/>
              <w:rPr>
                <w:rFonts w:cs="Arial"/>
                <w:color w:val="000000"/>
                <w:sz w:val="18"/>
                <w:szCs w:val="18"/>
                <w:lang w:val="en-CA"/>
              </w:rPr>
            </w:pPr>
            <w:r w:rsidRPr="00EA0FF7">
              <w:rPr>
                <w:lang w:val="en-CA"/>
              </w:rPr>
              <w:t>Your company's policy regarding crunches</w:t>
            </w:r>
          </w:p>
        </w:tc>
        <w:tc>
          <w:tcPr>
            <w:tcW w:w="1134" w:type="dxa"/>
            <w:shd w:val="clear" w:color="auto" w:fill="D9D9D9"/>
            <w:noWrap/>
            <w:hideMark/>
          </w:tcPr>
          <w:p w:rsidR="00ED0E89" w:rsidRPr="00EA0FF7" w:rsidRDefault="00ED0E89" w:rsidP="003F6C69">
            <w:pPr>
              <w:pStyle w:val="chiffres"/>
              <w:rPr>
                <w:lang w:val="en-CA"/>
              </w:rPr>
            </w:pPr>
            <w:r w:rsidRPr="00EA0FF7">
              <w:rPr>
                <w:lang w:val="en-CA"/>
              </w:rPr>
              <w:t>%</w:t>
            </w:r>
          </w:p>
        </w:tc>
      </w:tr>
      <w:tr w:rsidR="00ED0E89" w:rsidRPr="00EA0FF7" w:rsidTr="00E17D21">
        <w:trPr>
          <w:trHeight w:val="300"/>
        </w:trPr>
        <w:tc>
          <w:tcPr>
            <w:tcW w:w="6804" w:type="dxa"/>
            <w:shd w:val="clear" w:color="auto" w:fill="D9D9D9"/>
            <w:noWrap/>
            <w:hideMark/>
          </w:tcPr>
          <w:p w:rsidR="00ED0E89" w:rsidRPr="00ED0E89" w:rsidRDefault="00ED0E89" w:rsidP="003F6C69">
            <w:pPr>
              <w:pStyle w:val="chiffres2"/>
              <w:rPr>
                <w:lang w:val="en-CA"/>
              </w:rPr>
            </w:pPr>
            <w:r w:rsidRPr="00ED0E89">
              <w:rPr>
                <w:lang w:val="en-CA"/>
              </w:rPr>
              <w:t>Management sees crunch time as a normal part of doing business in the game industry</w:t>
            </w:r>
          </w:p>
        </w:tc>
        <w:tc>
          <w:tcPr>
            <w:tcW w:w="1134" w:type="dxa"/>
            <w:shd w:val="clear" w:color="auto" w:fill="D9D9D9"/>
            <w:noWrap/>
            <w:hideMark/>
          </w:tcPr>
          <w:p w:rsidR="00ED0E89" w:rsidRPr="00A05A23" w:rsidRDefault="00ED0E89" w:rsidP="003F6C69">
            <w:pPr>
              <w:pStyle w:val="chiffres2"/>
            </w:pPr>
            <w:r>
              <w:t>26</w:t>
            </w:r>
          </w:p>
        </w:tc>
      </w:tr>
      <w:tr w:rsidR="00ED0E89" w:rsidRPr="00EA0FF7" w:rsidTr="00E17D21">
        <w:trPr>
          <w:trHeight w:val="300"/>
        </w:trPr>
        <w:tc>
          <w:tcPr>
            <w:tcW w:w="6804" w:type="dxa"/>
            <w:shd w:val="clear" w:color="auto" w:fill="D9D9D9"/>
            <w:noWrap/>
            <w:hideMark/>
          </w:tcPr>
          <w:p w:rsidR="00ED0E89" w:rsidRPr="00ED0E89" w:rsidRDefault="00ED0E89" w:rsidP="003F6C69">
            <w:pPr>
              <w:pStyle w:val="chiffres2"/>
              <w:rPr>
                <w:lang w:val="en-CA"/>
              </w:rPr>
            </w:pPr>
            <w:r w:rsidRPr="00ED0E89">
              <w:rPr>
                <w:lang w:val="en-CA"/>
              </w:rPr>
              <w:t xml:space="preserve">Management sees crunch time as a necessary evil and tries to minimize </w:t>
            </w:r>
            <w:r w:rsidRPr="00ED0E89">
              <w:rPr>
                <w:lang w:val="en-CA"/>
              </w:rPr>
              <w:lastRenderedPageBreak/>
              <w:t>its impact on employees</w:t>
            </w:r>
          </w:p>
        </w:tc>
        <w:tc>
          <w:tcPr>
            <w:tcW w:w="1134" w:type="dxa"/>
            <w:shd w:val="clear" w:color="auto" w:fill="D9D9D9"/>
            <w:noWrap/>
            <w:hideMark/>
          </w:tcPr>
          <w:p w:rsidR="00ED0E89" w:rsidRPr="00A05A23" w:rsidRDefault="00ED0E89" w:rsidP="003F6C69">
            <w:pPr>
              <w:pStyle w:val="chiffres2"/>
            </w:pPr>
            <w:r>
              <w:lastRenderedPageBreak/>
              <w:t>19</w:t>
            </w:r>
          </w:p>
        </w:tc>
      </w:tr>
      <w:tr w:rsidR="00ED0E89" w:rsidRPr="00EA0FF7" w:rsidTr="00E17D21">
        <w:trPr>
          <w:trHeight w:val="300"/>
        </w:trPr>
        <w:tc>
          <w:tcPr>
            <w:tcW w:w="6804" w:type="dxa"/>
            <w:shd w:val="clear" w:color="auto" w:fill="D9D9D9"/>
            <w:noWrap/>
            <w:hideMark/>
          </w:tcPr>
          <w:p w:rsidR="00ED0E89" w:rsidRPr="00ED0E89" w:rsidRDefault="00ED0E89" w:rsidP="003F6C69">
            <w:pPr>
              <w:pStyle w:val="chiffres2"/>
              <w:rPr>
                <w:lang w:val="en-CA"/>
              </w:rPr>
            </w:pPr>
            <w:r w:rsidRPr="00ED0E89">
              <w:rPr>
                <w:lang w:val="en-CA"/>
              </w:rPr>
              <w:lastRenderedPageBreak/>
              <w:t>An employee doesn't have to participate if their own assigned work is completed</w:t>
            </w:r>
          </w:p>
        </w:tc>
        <w:tc>
          <w:tcPr>
            <w:tcW w:w="1134" w:type="dxa"/>
            <w:shd w:val="clear" w:color="auto" w:fill="D9D9D9"/>
            <w:noWrap/>
            <w:hideMark/>
          </w:tcPr>
          <w:p w:rsidR="00ED0E89" w:rsidRPr="00A05A23" w:rsidRDefault="00ED0E89" w:rsidP="003F6C69">
            <w:pPr>
              <w:pStyle w:val="chiffres2"/>
            </w:pPr>
            <w:r>
              <w:t>16</w:t>
            </w:r>
          </w:p>
        </w:tc>
      </w:tr>
      <w:tr w:rsidR="00ED0E89" w:rsidRPr="00EA0FF7" w:rsidTr="00E17D21">
        <w:trPr>
          <w:trHeight w:val="300"/>
        </w:trPr>
        <w:tc>
          <w:tcPr>
            <w:tcW w:w="6804" w:type="dxa"/>
            <w:shd w:val="clear" w:color="auto" w:fill="D9D9D9"/>
            <w:noWrap/>
            <w:hideMark/>
          </w:tcPr>
          <w:p w:rsidR="00ED0E89" w:rsidRPr="00ED0E89" w:rsidRDefault="00ED0E89" w:rsidP="003F6C69">
            <w:pPr>
              <w:pStyle w:val="chiffres2"/>
              <w:rPr>
                <w:lang w:val="en-CA"/>
              </w:rPr>
            </w:pPr>
            <w:r w:rsidRPr="00ED0E89">
              <w:rPr>
                <w:lang w:val="en-CA"/>
              </w:rPr>
              <w:t>Everyone gets involved, no matter what</w:t>
            </w:r>
          </w:p>
        </w:tc>
        <w:tc>
          <w:tcPr>
            <w:tcW w:w="1134" w:type="dxa"/>
            <w:shd w:val="clear" w:color="auto" w:fill="D9D9D9"/>
            <w:noWrap/>
            <w:hideMark/>
          </w:tcPr>
          <w:p w:rsidR="00ED0E89" w:rsidRPr="009A4786" w:rsidRDefault="00ED0E89" w:rsidP="003F6C69">
            <w:pPr>
              <w:pStyle w:val="chiffres2"/>
            </w:pPr>
            <w:r>
              <w:t>15</w:t>
            </w:r>
          </w:p>
        </w:tc>
      </w:tr>
      <w:tr w:rsidR="00ED0E89" w:rsidRPr="00EA0FF7" w:rsidTr="00E17D21">
        <w:trPr>
          <w:trHeight w:val="300"/>
        </w:trPr>
        <w:tc>
          <w:tcPr>
            <w:tcW w:w="6804" w:type="dxa"/>
            <w:shd w:val="clear" w:color="auto" w:fill="D9D9D9"/>
            <w:noWrap/>
            <w:hideMark/>
          </w:tcPr>
          <w:p w:rsidR="00ED0E89" w:rsidRPr="00ED0E89" w:rsidRDefault="00ED0E89" w:rsidP="003F6C69">
            <w:pPr>
              <w:pStyle w:val="chiffres2"/>
              <w:rPr>
                <w:lang w:val="en-CA"/>
              </w:rPr>
            </w:pPr>
            <w:r w:rsidRPr="00ED0E89">
              <w:rPr>
                <w:lang w:val="en-CA"/>
              </w:rPr>
              <w:t>It is possible for an employee to refuse crunch time for personal or family reasons</w:t>
            </w:r>
          </w:p>
        </w:tc>
        <w:tc>
          <w:tcPr>
            <w:tcW w:w="1134" w:type="dxa"/>
            <w:shd w:val="clear" w:color="auto" w:fill="D9D9D9"/>
            <w:noWrap/>
            <w:hideMark/>
          </w:tcPr>
          <w:p w:rsidR="00ED0E89" w:rsidRPr="00A05A23" w:rsidRDefault="00ED0E89" w:rsidP="003F6C69">
            <w:pPr>
              <w:pStyle w:val="chiffres2"/>
            </w:pPr>
            <w:r>
              <w:t>15</w:t>
            </w:r>
          </w:p>
        </w:tc>
      </w:tr>
      <w:tr w:rsidR="00ED0E89" w:rsidRPr="00EA0FF7" w:rsidTr="00E17D21">
        <w:trPr>
          <w:trHeight w:val="300"/>
        </w:trPr>
        <w:tc>
          <w:tcPr>
            <w:tcW w:w="6804" w:type="dxa"/>
            <w:shd w:val="clear" w:color="auto" w:fill="D9D9D9"/>
            <w:noWrap/>
            <w:hideMark/>
          </w:tcPr>
          <w:p w:rsidR="00ED0E89" w:rsidRPr="00ED0E89" w:rsidRDefault="00ED0E89" w:rsidP="003F6C69">
            <w:pPr>
              <w:pStyle w:val="chiffres2"/>
              <w:rPr>
                <w:lang w:val="en-CA"/>
              </w:rPr>
            </w:pPr>
            <w:r w:rsidRPr="00ED0E89">
              <w:rPr>
                <w:lang w:val="en-CA"/>
              </w:rPr>
              <w:t>All developers work long hours during crunch, but management doesn't</w:t>
            </w:r>
          </w:p>
        </w:tc>
        <w:tc>
          <w:tcPr>
            <w:tcW w:w="1134" w:type="dxa"/>
            <w:shd w:val="clear" w:color="auto" w:fill="D9D9D9"/>
            <w:noWrap/>
            <w:hideMark/>
          </w:tcPr>
          <w:p w:rsidR="00ED0E89" w:rsidRPr="00A05A23" w:rsidRDefault="00ED0E89" w:rsidP="003F6C69">
            <w:pPr>
              <w:pStyle w:val="chiffres2"/>
            </w:pPr>
            <w:r>
              <w:t>8</w:t>
            </w:r>
          </w:p>
        </w:tc>
      </w:tr>
      <w:tr w:rsidR="00ED0E89" w:rsidRPr="00EA0FF7" w:rsidTr="00E17D21">
        <w:trPr>
          <w:trHeight w:val="300"/>
        </w:trPr>
        <w:tc>
          <w:tcPr>
            <w:tcW w:w="6804" w:type="dxa"/>
            <w:shd w:val="clear" w:color="auto" w:fill="FFFF00"/>
            <w:noWrap/>
            <w:hideMark/>
          </w:tcPr>
          <w:p w:rsidR="00ED0E89" w:rsidRPr="00ED0E89" w:rsidRDefault="00ED0E89" w:rsidP="003F6C69">
            <w:pPr>
              <w:pStyle w:val="chiffres2"/>
              <w:rPr>
                <w:lang w:val="en-CA"/>
              </w:rPr>
            </w:pPr>
            <w:r w:rsidRPr="00ED0E89">
              <w:rPr>
                <w:lang w:val="en-CA"/>
              </w:rPr>
              <w:t xml:space="preserve">Management actively applies a no-crunch policy, like the 40-hour workweek. </w:t>
            </w:r>
          </w:p>
        </w:tc>
        <w:tc>
          <w:tcPr>
            <w:tcW w:w="1134" w:type="dxa"/>
            <w:shd w:val="clear" w:color="auto" w:fill="FFFF00"/>
            <w:noWrap/>
            <w:hideMark/>
          </w:tcPr>
          <w:p w:rsidR="00ED0E89" w:rsidRPr="00A05A23" w:rsidRDefault="00ED0E89" w:rsidP="003F6C69">
            <w:pPr>
              <w:pStyle w:val="chiffres2"/>
            </w:pPr>
            <w:r w:rsidRPr="00A05A23">
              <w:t>1</w:t>
            </w:r>
          </w:p>
        </w:tc>
      </w:tr>
    </w:tbl>
    <w:p w:rsidR="00BA70E3" w:rsidRDefault="00BA70E3" w:rsidP="00763264">
      <w:pPr>
        <w:pStyle w:val="p"/>
      </w:pPr>
    </w:p>
    <w:p w:rsidR="00BA70E3" w:rsidRDefault="00BA70E3" w:rsidP="00BA70E3">
      <w:pPr>
        <w:pStyle w:val="p"/>
      </w:pPr>
      <w:r>
        <w:br w:type="page"/>
      </w:r>
    </w:p>
    <w:p w:rsidR="00ED0E89" w:rsidRDefault="00D97B1A" w:rsidP="00ED0E89">
      <w:pPr>
        <w:pStyle w:val="Heading5"/>
        <w:rPr>
          <w:lang w:val="en-CA"/>
        </w:rPr>
      </w:pPr>
      <w:r>
        <w:rPr>
          <w:lang w:val="en-CA"/>
        </w:rPr>
        <w:lastRenderedPageBreak/>
        <w:t>Chart </w:t>
      </w:r>
      <w:r w:rsidR="00E85018">
        <w:rPr>
          <w:lang w:val="en-CA"/>
        </w:rPr>
        <w:t>6</w:t>
      </w:r>
    </w:p>
    <w:p w:rsidR="00ED0E89" w:rsidRPr="00306F4B" w:rsidRDefault="00ED0E89" w:rsidP="00ED0E89">
      <w:pPr>
        <w:pStyle w:val="Heading5"/>
        <w:rPr>
          <w:lang w:val="en-CA"/>
        </w:rPr>
      </w:pPr>
      <w:r w:rsidRPr="00696CAC">
        <w:rPr>
          <w:lang w:val="en-CA"/>
        </w:rPr>
        <w:t>Which of the following assertions best describe your company's policy regarding crunches? Check all that apply (2004)</w:t>
      </w:r>
    </w:p>
    <w:p w:rsidR="00ED0E89" w:rsidRPr="00EA0FF7" w:rsidRDefault="00335BFF" w:rsidP="00ED0E89">
      <w:pPr>
        <w:pStyle w:val="figure"/>
      </w:pPr>
      <w:r>
        <w:rPr>
          <w:noProof/>
          <w:lang w:val="en-CA" w:eastAsia="en-CA"/>
        </w:rPr>
        <w:drawing>
          <wp:inline distT="0" distB="0" distL="0" distR="0" wp14:anchorId="4F9D9992" wp14:editId="6C194D41">
            <wp:extent cx="5332095" cy="3262630"/>
            <wp:effectExtent l="0" t="0" r="20955" b="13970"/>
            <wp:docPr id="5" name="Graphique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0E89" w:rsidRPr="00ED0E89" w:rsidRDefault="00ED0E89" w:rsidP="00763264">
      <w:pPr>
        <w:pStyle w:val="p"/>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5"/>
      </w:tblGrid>
      <w:tr w:rsidR="00ED0E89" w:rsidRPr="00C44C18" w:rsidTr="00E17D21">
        <w:tc>
          <w:tcPr>
            <w:tcW w:w="7625" w:type="dxa"/>
            <w:shd w:val="clear" w:color="auto" w:fill="auto"/>
          </w:tcPr>
          <w:p w:rsidR="007376F7" w:rsidRPr="00BA70E3" w:rsidRDefault="007376F7" w:rsidP="007376F7">
            <w:pPr>
              <w:shd w:val="clear" w:color="auto" w:fill="FFFFFF"/>
              <w:spacing w:after="200" w:line="320" w:lineRule="atLeast"/>
              <w:jc w:val="left"/>
              <w:rPr>
                <w:rFonts w:ascii="Times New Roman" w:hAnsi="Times New Roman"/>
                <w:color w:val="222222"/>
                <w:szCs w:val="24"/>
                <w:lang w:val="en-US" w:eastAsia="en-US"/>
              </w:rPr>
            </w:pPr>
            <w:r w:rsidRPr="00BA70E3">
              <w:rPr>
                <w:rFonts w:ascii="Arial Narrow" w:hAnsi="Arial Narrow"/>
                <w:color w:val="222222"/>
                <w:sz w:val="22"/>
                <w:szCs w:val="22"/>
                <w:lang w:val="en-CA" w:eastAsia="en-US"/>
              </w:rPr>
              <w:t>In the Canadian interviews, a quarter of the respondents felt they could refuse to work in crunch time, for various reasons. They either worked in studios that practiced crunch but independently took the refusal stance, or they may have had the option to refuse from time to time with a good reason, or they may have worked in studios that had a no crunch policy.</w:t>
            </w:r>
          </w:p>
          <w:p w:rsidR="007376F7" w:rsidRPr="00BA70E3" w:rsidRDefault="007376F7" w:rsidP="007376F7">
            <w:pPr>
              <w:shd w:val="clear" w:color="auto" w:fill="FFFFFF"/>
              <w:spacing w:after="200" w:line="320" w:lineRule="atLeast"/>
              <w:jc w:val="left"/>
              <w:rPr>
                <w:rFonts w:ascii="Times New Roman" w:hAnsi="Times New Roman"/>
                <w:color w:val="222222"/>
                <w:szCs w:val="24"/>
                <w:lang w:val="en-US" w:eastAsia="en-US"/>
              </w:rPr>
            </w:pPr>
            <w:r w:rsidRPr="00BA70E3">
              <w:rPr>
                <w:rFonts w:ascii="Arial Narrow" w:hAnsi="Arial Narrow"/>
                <w:color w:val="222222"/>
                <w:sz w:val="22"/>
                <w:szCs w:val="22"/>
                <w:lang w:val="en-CA" w:eastAsia="en-US"/>
              </w:rPr>
              <w:t>Regarding the latter, 21% of respondents spontaneously said their studio had a </w:t>
            </w:r>
            <w:r w:rsidRPr="00BA70E3">
              <w:rPr>
                <w:rFonts w:ascii="Arial Narrow" w:hAnsi="Arial Narrow"/>
                <w:i/>
                <w:iCs/>
                <w:color w:val="222222"/>
                <w:sz w:val="22"/>
                <w:szCs w:val="22"/>
                <w:lang w:val="en-CA" w:eastAsia="en-US"/>
              </w:rPr>
              <w:t>no crunch or limited crunch policy, </w:t>
            </w:r>
            <w:r w:rsidRPr="00BA70E3">
              <w:rPr>
                <w:rFonts w:ascii="Arial Narrow" w:hAnsi="Arial Narrow"/>
                <w:color w:val="222222"/>
                <w:sz w:val="22"/>
                <w:szCs w:val="22"/>
                <w:lang w:val="en-CA" w:eastAsia="en-US"/>
              </w:rPr>
              <w:t xml:space="preserve">and clearly stated under that policy that workers could refuse (though </w:t>
            </w:r>
            <w:r w:rsidR="007C4DAA" w:rsidRPr="00BA70E3">
              <w:rPr>
                <w:rFonts w:ascii="Arial Narrow" w:hAnsi="Arial Narrow"/>
                <w:color w:val="222222"/>
                <w:sz w:val="22"/>
                <w:szCs w:val="22"/>
                <w:lang w:val="en-CA" w:eastAsia="en-US"/>
              </w:rPr>
              <w:t xml:space="preserve">this was </w:t>
            </w:r>
            <w:r w:rsidRPr="00BA70E3">
              <w:rPr>
                <w:rFonts w:ascii="Arial Narrow" w:hAnsi="Arial Narrow"/>
                <w:color w:val="222222"/>
                <w:sz w:val="22"/>
                <w:szCs w:val="22"/>
                <w:lang w:val="en-CA" w:eastAsia="en-US"/>
              </w:rPr>
              <w:t xml:space="preserve">not asked as part of the questionnaire, it was part of their explanation of time management at their studios). </w:t>
            </w:r>
          </w:p>
          <w:p w:rsidR="007376F7" w:rsidRPr="00E17D21" w:rsidRDefault="007376F7" w:rsidP="007376F7">
            <w:pPr>
              <w:pStyle w:val="p"/>
              <w:ind w:left="0"/>
            </w:pPr>
            <w:r w:rsidRPr="00BA70E3">
              <w:t>In general, things are rather unclear and respondents don’t precisely know the formal or informal rules.</w:t>
            </w:r>
            <w:r w:rsidR="00950ED0" w:rsidRPr="00BA70E3">
              <w:t xml:space="preserve"> </w:t>
            </w:r>
            <w:r w:rsidRPr="00BA70E3">
              <w:t>Therefore, if the practice shows a downward trend and studios show various ways to manage crunch time, there still are Canadian studios that maintain the famous tradition. Among our interviewees some still worked at studios that practice crunch as the normal schedule, going on regularly and not being compensated.</w:t>
            </w:r>
          </w:p>
        </w:tc>
      </w:tr>
    </w:tbl>
    <w:p w:rsidR="006E1C92" w:rsidRDefault="006E1C92" w:rsidP="00763264">
      <w:pPr>
        <w:pStyle w:val="p"/>
      </w:pPr>
    </w:p>
    <w:p w:rsidR="00ED0E89" w:rsidRPr="00ED0E89" w:rsidRDefault="00F256FF" w:rsidP="00763264">
      <w:pPr>
        <w:pStyle w:val="p"/>
      </w:pPr>
      <w:r w:rsidRPr="00BA70E3">
        <w:t xml:space="preserve">So, </w:t>
      </w:r>
      <w:r w:rsidR="00ED0E89" w:rsidRPr="00BA70E3">
        <w:t xml:space="preserve">despite a slight enhancement in the </w:t>
      </w:r>
      <w:r w:rsidRPr="00BA70E3">
        <w:t>occurrence</w:t>
      </w:r>
      <w:r w:rsidR="00ED0E89" w:rsidRPr="00BA70E3">
        <w:t xml:space="preserve"> of crunch time</w:t>
      </w:r>
      <w:r w:rsidRPr="00BA70E3">
        <w:t xml:space="preserve"> in this data</w:t>
      </w:r>
      <w:r w:rsidR="00ED0E89" w:rsidRPr="00BA70E3">
        <w:t xml:space="preserve">, it still is a </w:t>
      </w:r>
      <w:r w:rsidR="00ED0E89" w:rsidRPr="00BA70E3">
        <w:lastRenderedPageBreak/>
        <w:t>regular practice in the bigger universe of project management and in the video</w:t>
      </w:r>
      <w:r w:rsidRPr="00BA70E3">
        <w:t xml:space="preserve"> </w:t>
      </w:r>
      <w:r w:rsidR="00ED0E89" w:rsidRPr="00BA70E3">
        <w:t>game industry in particular. But</w:t>
      </w:r>
      <w:r w:rsidRPr="00BA70E3">
        <w:t>,</w:t>
      </w:r>
      <w:r w:rsidR="00ED0E89" w:rsidRPr="00BA70E3">
        <w:t xml:space="preserve"> </w:t>
      </w:r>
      <w:r w:rsidRPr="00BA70E3">
        <w:t xml:space="preserve">as we can see from looking at the other measurements of crunch below, </w:t>
      </w:r>
      <w:r w:rsidR="00950ED0" w:rsidRPr="00BA70E3">
        <w:t xml:space="preserve">though </w:t>
      </w:r>
      <w:r w:rsidRPr="00BA70E3">
        <w:t>the p</w:t>
      </w:r>
      <w:r w:rsidR="00950ED0" w:rsidRPr="00BA70E3">
        <w:t xml:space="preserve">ractice may not be extinct, </w:t>
      </w:r>
      <w:r w:rsidRPr="00BA70E3">
        <w:t>there is an evolution.</w:t>
      </w:r>
      <w:r w:rsidR="00ED0E89" w:rsidRPr="00ED0E89">
        <w:t xml:space="preserve"> </w:t>
      </w:r>
    </w:p>
    <w:p w:rsidR="00ED0E89" w:rsidRPr="00EA0FF7" w:rsidRDefault="00ED0E89" w:rsidP="00ED0E89">
      <w:pPr>
        <w:pStyle w:val="Heading2"/>
        <w:rPr>
          <w:lang w:val="en-CA"/>
        </w:rPr>
      </w:pPr>
      <w:bookmarkStart w:id="23" w:name="_Toc408662184"/>
      <w:bookmarkStart w:id="24" w:name="_Toc428799768"/>
      <w:r>
        <w:rPr>
          <w:lang w:val="en-CA"/>
        </w:rPr>
        <w:t xml:space="preserve">Hours management </w:t>
      </w:r>
      <w:r w:rsidRPr="00EA0FF7">
        <w:rPr>
          <w:lang w:val="en-CA"/>
        </w:rPr>
        <w:t>expect</w:t>
      </w:r>
      <w:r>
        <w:rPr>
          <w:lang w:val="en-CA"/>
        </w:rPr>
        <w:t>s developers to work in crunch</w:t>
      </w:r>
      <w:bookmarkEnd w:id="23"/>
      <w:bookmarkEnd w:id="24"/>
    </w:p>
    <w:p w:rsidR="00ED0E89" w:rsidRPr="00BA70E3" w:rsidRDefault="00135D8A" w:rsidP="00763264">
      <w:pPr>
        <w:pStyle w:val="p"/>
      </w:pPr>
      <w:r w:rsidRPr="00BA70E3">
        <w:t xml:space="preserve">As we discussed above regarding the hours of work in a regular schedule, we first observe </w:t>
      </w:r>
      <w:r w:rsidR="00ED0E89" w:rsidRPr="00BA70E3">
        <w:t xml:space="preserve">the expectations of management as perceived by respondents. </w:t>
      </w:r>
      <w:r w:rsidR="00F256FF" w:rsidRPr="00BA70E3">
        <w:t xml:space="preserve">This question was not asked in 2004 so </w:t>
      </w:r>
      <w:r w:rsidR="00ED0E89" w:rsidRPr="00BA70E3">
        <w:t xml:space="preserve">we can only compare perception of expected hours between 2009 and 2014. </w:t>
      </w:r>
    </w:p>
    <w:p w:rsidR="00ED0E89" w:rsidRPr="00ED0E89" w:rsidRDefault="00ED0E89" w:rsidP="00763264">
      <w:pPr>
        <w:pStyle w:val="p"/>
      </w:pPr>
      <w:r w:rsidRPr="00BA70E3">
        <w:t xml:space="preserve">And here again, there is an </w:t>
      </w:r>
      <w:r w:rsidR="00135D8A" w:rsidRPr="00BA70E3">
        <w:t>improvement in terms of how much developers think they are expected to work.</w:t>
      </w:r>
      <w:r w:rsidRPr="00BA70E3">
        <w:t xml:space="preserve"> In 2014, a larger share of respondents </w:t>
      </w:r>
      <w:r w:rsidR="00135D8A" w:rsidRPr="00BA70E3">
        <w:t xml:space="preserve">than in 2009 </w:t>
      </w:r>
      <w:r w:rsidRPr="00BA70E3">
        <w:t xml:space="preserve">reported that they are expected to work 45-49 hours per week while in crunch time. To mirror this, a smaller share of respondents </w:t>
      </w:r>
      <w:r w:rsidR="00F256FF" w:rsidRPr="00BA70E3">
        <w:t xml:space="preserve">in 2014 </w:t>
      </w:r>
      <w:r w:rsidRPr="00BA70E3">
        <w:t xml:space="preserve">reported that they are expected to work longer hours than that (i.e. 50-69 hours). </w:t>
      </w:r>
      <w:r w:rsidR="00AD0154" w:rsidRPr="00BA70E3">
        <w:t xml:space="preserve">Off-setting this downward trend, the percentage of respondents who felt that their management expected them to work very extreme hours of 80 or more </w:t>
      </w:r>
      <w:r w:rsidR="00F256FF" w:rsidRPr="00BA70E3">
        <w:t xml:space="preserve">per week </w:t>
      </w:r>
      <w:r w:rsidR="00AD0154" w:rsidRPr="00BA70E3">
        <w:t>double</w:t>
      </w:r>
      <w:r w:rsidR="00F256FF" w:rsidRPr="00BA70E3">
        <w:t>d between 2009 and 2014 (Table 8</w:t>
      </w:r>
      <w:r w:rsidR="00AD0154" w:rsidRPr="00BA70E3">
        <w:t>).</w:t>
      </w:r>
    </w:p>
    <w:p w:rsidR="00ED0E89" w:rsidRPr="00C00388" w:rsidRDefault="00ED0E89" w:rsidP="00ED0E89">
      <w:pPr>
        <w:pStyle w:val="Heading5"/>
        <w:rPr>
          <w:lang w:val="en-CA"/>
        </w:rPr>
      </w:pPr>
      <w:r>
        <w:rPr>
          <w:lang w:val="en-CA"/>
        </w:rPr>
        <w:t>Table 8</w:t>
      </w:r>
    </w:p>
    <w:p w:rsidR="00ED0E89" w:rsidRPr="00EA0FF7" w:rsidRDefault="00ED0E89" w:rsidP="00ED0E89">
      <w:pPr>
        <w:pStyle w:val="Heading5"/>
        <w:rPr>
          <w:lang w:val="en-CA"/>
        </w:rPr>
      </w:pPr>
      <w:r w:rsidRPr="00EA0FF7">
        <w:rPr>
          <w:lang w:val="en-CA"/>
        </w:rPr>
        <w:t>How many hours per week on average are you EXPECTED to work when in CRUNCH time?</w:t>
      </w:r>
    </w:p>
    <w:tbl>
      <w:tblPr>
        <w:tblW w:w="5316" w:type="dxa"/>
        <w:tblInd w:w="116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000" w:firstRow="0" w:lastRow="0" w:firstColumn="0" w:lastColumn="0" w:noHBand="0" w:noVBand="0"/>
      </w:tblPr>
      <w:tblGrid>
        <w:gridCol w:w="1716"/>
        <w:gridCol w:w="1800"/>
        <w:gridCol w:w="1800"/>
      </w:tblGrid>
      <w:tr w:rsidR="00ED0E89" w:rsidRPr="00EA0FF7" w:rsidTr="00E17D21">
        <w:trPr>
          <w:cantSplit/>
        </w:trPr>
        <w:tc>
          <w:tcPr>
            <w:tcW w:w="1716" w:type="dxa"/>
            <w:shd w:val="clear" w:color="auto" w:fill="D9D9D9"/>
          </w:tcPr>
          <w:p w:rsidR="00ED0E89" w:rsidRPr="00EA0FF7" w:rsidRDefault="00ED0E89" w:rsidP="003F6C69">
            <w:pPr>
              <w:pStyle w:val="chiffres"/>
              <w:rPr>
                <w:lang w:val="en-CA"/>
              </w:rPr>
            </w:pPr>
          </w:p>
        </w:tc>
        <w:tc>
          <w:tcPr>
            <w:tcW w:w="1800" w:type="dxa"/>
            <w:shd w:val="clear" w:color="auto" w:fill="D9D9D9"/>
          </w:tcPr>
          <w:p w:rsidR="00ED0E89" w:rsidRPr="00EA0FF7" w:rsidRDefault="00ED0E89" w:rsidP="003F6C69">
            <w:pPr>
              <w:pStyle w:val="chiffres"/>
              <w:rPr>
                <w:lang w:val="en-CA"/>
              </w:rPr>
            </w:pPr>
            <w:r w:rsidRPr="00EA0FF7">
              <w:rPr>
                <w:lang w:val="en-CA"/>
              </w:rPr>
              <w:t>2009</w:t>
            </w:r>
          </w:p>
        </w:tc>
        <w:tc>
          <w:tcPr>
            <w:tcW w:w="1800" w:type="dxa"/>
            <w:shd w:val="clear" w:color="auto" w:fill="D9D9D9"/>
            <w:vAlign w:val="center"/>
          </w:tcPr>
          <w:p w:rsidR="00ED0E89" w:rsidRPr="00EA0FF7" w:rsidRDefault="00ED0E89" w:rsidP="003F6C69">
            <w:pPr>
              <w:pStyle w:val="chiffres"/>
              <w:rPr>
                <w:lang w:val="en-CA"/>
              </w:rPr>
            </w:pPr>
            <w:r w:rsidRPr="00EA0FF7">
              <w:rPr>
                <w:lang w:val="en-CA"/>
              </w:rPr>
              <w:t>2014</w:t>
            </w:r>
          </w:p>
        </w:tc>
      </w:tr>
      <w:tr w:rsidR="00ED0E89" w:rsidRPr="00EA0FF7" w:rsidTr="00E17D21">
        <w:trPr>
          <w:cantSplit/>
        </w:trPr>
        <w:tc>
          <w:tcPr>
            <w:tcW w:w="1716" w:type="dxa"/>
            <w:shd w:val="clear" w:color="auto" w:fill="D9D9D9"/>
          </w:tcPr>
          <w:p w:rsidR="00ED0E89" w:rsidRPr="00EA0FF7" w:rsidRDefault="00ED0E89" w:rsidP="003F6C69">
            <w:pPr>
              <w:pStyle w:val="chiffres2"/>
            </w:pPr>
            <w:r w:rsidRPr="00EA0FF7">
              <w:t xml:space="preserve">&lt;20 </w:t>
            </w:r>
            <w:proofErr w:type="spellStart"/>
            <w:r w:rsidRPr="00EA0FF7">
              <w:t>hrs</w:t>
            </w:r>
            <w:proofErr w:type="spellEnd"/>
          </w:p>
        </w:tc>
        <w:tc>
          <w:tcPr>
            <w:tcW w:w="1800" w:type="dxa"/>
            <w:shd w:val="clear" w:color="auto" w:fill="D9D9D9"/>
          </w:tcPr>
          <w:p w:rsidR="00ED0E89" w:rsidRPr="00EA0FF7" w:rsidRDefault="00ED0E89" w:rsidP="00F256FF">
            <w:pPr>
              <w:pStyle w:val="chiffres2"/>
              <w:jc w:val="center"/>
            </w:pPr>
            <w:r>
              <w:t>1</w:t>
            </w:r>
          </w:p>
        </w:tc>
        <w:tc>
          <w:tcPr>
            <w:tcW w:w="1800" w:type="dxa"/>
            <w:shd w:val="clear" w:color="auto" w:fill="D9D9D9"/>
          </w:tcPr>
          <w:p w:rsidR="00ED0E89" w:rsidRPr="00EA0FF7" w:rsidRDefault="00ED0E89" w:rsidP="00F256FF">
            <w:pPr>
              <w:pStyle w:val="chiffres2"/>
              <w:jc w:val="center"/>
            </w:pPr>
            <w:r>
              <w:t>8</w:t>
            </w:r>
          </w:p>
        </w:tc>
      </w:tr>
      <w:tr w:rsidR="00ED0E89" w:rsidRPr="00EA0FF7" w:rsidTr="00E17D21">
        <w:trPr>
          <w:cantSplit/>
        </w:trPr>
        <w:tc>
          <w:tcPr>
            <w:tcW w:w="1716" w:type="dxa"/>
            <w:shd w:val="clear" w:color="auto" w:fill="D9D9D9"/>
          </w:tcPr>
          <w:p w:rsidR="00ED0E89" w:rsidRPr="00EA0FF7" w:rsidRDefault="00ED0E89" w:rsidP="003F6C69">
            <w:pPr>
              <w:pStyle w:val="chiffres2"/>
            </w:pPr>
            <w:r w:rsidRPr="00EA0FF7">
              <w:t>20-24</w:t>
            </w:r>
          </w:p>
        </w:tc>
        <w:tc>
          <w:tcPr>
            <w:tcW w:w="1800" w:type="dxa"/>
            <w:vMerge w:val="restart"/>
            <w:shd w:val="clear" w:color="auto" w:fill="D9D9D9"/>
          </w:tcPr>
          <w:p w:rsidR="00ED0E89" w:rsidRPr="00EA0FF7" w:rsidRDefault="00ED0E89" w:rsidP="00F256FF">
            <w:pPr>
              <w:pStyle w:val="chiffres2"/>
              <w:jc w:val="center"/>
            </w:pPr>
            <w:r>
              <w:t>0</w:t>
            </w:r>
          </w:p>
        </w:tc>
        <w:tc>
          <w:tcPr>
            <w:tcW w:w="1800" w:type="dxa"/>
            <w:shd w:val="clear" w:color="auto" w:fill="D9D9D9"/>
          </w:tcPr>
          <w:p w:rsidR="00ED0E89" w:rsidRPr="00EA0FF7" w:rsidRDefault="00ED0E89" w:rsidP="00F256FF">
            <w:pPr>
              <w:pStyle w:val="chiffres2"/>
              <w:jc w:val="center"/>
            </w:pPr>
            <w:r>
              <w:t>1</w:t>
            </w:r>
          </w:p>
        </w:tc>
      </w:tr>
      <w:tr w:rsidR="00ED0E89" w:rsidRPr="00EA0FF7" w:rsidTr="00E17D21">
        <w:trPr>
          <w:cantSplit/>
        </w:trPr>
        <w:tc>
          <w:tcPr>
            <w:tcW w:w="1716" w:type="dxa"/>
            <w:shd w:val="clear" w:color="auto" w:fill="D9D9D9"/>
          </w:tcPr>
          <w:p w:rsidR="00ED0E89" w:rsidRPr="00EA0FF7" w:rsidRDefault="00ED0E89" w:rsidP="003F6C69">
            <w:pPr>
              <w:pStyle w:val="chiffres2"/>
            </w:pPr>
            <w:r w:rsidRPr="00EA0FF7">
              <w:t>25-29</w:t>
            </w:r>
          </w:p>
        </w:tc>
        <w:tc>
          <w:tcPr>
            <w:tcW w:w="1800" w:type="dxa"/>
            <w:vMerge/>
            <w:shd w:val="clear" w:color="auto" w:fill="D9D9D9"/>
          </w:tcPr>
          <w:p w:rsidR="00ED0E89" w:rsidRPr="00EA0FF7" w:rsidRDefault="00ED0E89" w:rsidP="00F256FF">
            <w:pPr>
              <w:pStyle w:val="chiffres2"/>
              <w:jc w:val="center"/>
            </w:pPr>
          </w:p>
        </w:tc>
        <w:tc>
          <w:tcPr>
            <w:tcW w:w="1800" w:type="dxa"/>
            <w:shd w:val="clear" w:color="auto" w:fill="D9D9D9"/>
          </w:tcPr>
          <w:p w:rsidR="00ED0E89" w:rsidRPr="00EA0FF7" w:rsidRDefault="00ED0E89" w:rsidP="00F256FF">
            <w:pPr>
              <w:pStyle w:val="chiffres2"/>
              <w:jc w:val="center"/>
            </w:pPr>
            <w:r>
              <w:t>1</w:t>
            </w:r>
          </w:p>
        </w:tc>
      </w:tr>
      <w:tr w:rsidR="00ED0E89" w:rsidRPr="00EA0FF7" w:rsidTr="00E17D21">
        <w:trPr>
          <w:cantSplit/>
        </w:trPr>
        <w:tc>
          <w:tcPr>
            <w:tcW w:w="1716" w:type="dxa"/>
            <w:shd w:val="clear" w:color="auto" w:fill="D9D9D9"/>
          </w:tcPr>
          <w:p w:rsidR="00ED0E89" w:rsidRPr="00EA0FF7" w:rsidRDefault="00ED0E89" w:rsidP="003F6C69">
            <w:pPr>
              <w:pStyle w:val="chiffres2"/>
            </w:pPr>
            <w:r w:rsidRPr="00EA0FF7">
              <w:t>30-34</w:t>
            </w:r>
          </w:p>
        </w:tc>
        <w:tc>
          <w:tcPr>
            <w:tcW w:w="1800" w:type="dxa"/>
            <w:shd w:val="clear" w:color="auto" w:fill="D9D9D9"/>
          </w:tcPr>
          <w:p w:rsidR="00ED0E89" w:rsidRPr="00EA0FF7" w:rsidRDefault="00ED0E89" w:rsidP="00F256FF">
            <w:pPr>
              <w:pStyle w:val="chiffres2"/>
              <w:jc w:val="center"/>
            </w:pPr>
            <w:r>
              <w:t>1</w:t>
            </w:r>
          </w:p>
        </w:tc>
        <w:tc>
          <w:tcPr>
            <w:tcW w:w="1800" w:type="dxa"/>
            <w:shd w:val="clear" w:color="auto" w:fill="D9D9D9"/>
          </w:tcPr>
          <w:p w:rsidR="00ED0E89" w:rsidRPr="00EA0FF7" w:rsidRDefault="00ED0E89" w:rsidP="00F256FF">
            <w:pPr>
              <w:pStyle w:val="chiffres2"/>
              <w:jc w:val="center"/>
            </w:pPr>
            <w:r>
              <w:t>1</w:t>
            </w:r>
          </w:p>
        </w:tc>
      </w:tr>
      <w:tr w:rsidR="00ED0E89" w:rsidRPr="00EA0FF7" w:rsidTr="00E17D21">
        <w:trPr>
          <w:cantSplit/>
        </w:trPr>
        <w:tc>
          <w:tcPr>
            <w:tcW w:w="1716" w:type="dxa"/>
            <w:shd w:val="clear" w:color="auto" w:fill="D9D9D9"/>
          </w:tcPr>
          <w:p w:rsidR="00ED0E89" w:rsidRPr="00EA0FF7" w:rsidRDefault="00ED0E89" w:rsidP="003F6C69">
            <w:pPr>
              <w:pStyle w:val="chiffres2"/>
            </w:pPr>
            <w:r w:rsidRPr="00EA0FF7">
              <w:t>35-39</w:t>
            </w:r>
          </w:p>
        </w:tc>
        <w:tc>
          <w:tcPr>
            <w:tcW w:w="1800" w:type="dxa"/>
            <w:shd w:val="clear" w:color="auto" w:fill="D9D9D9"/>
          </w:tcPr>
          <w:p w:rsidR="00ED0E89" w:rsidRPr="00EA0FF7" w:rsidRDefault="00ED0E89" w:rsidP="00F256FF">
            <w:pPr>
              <w:pStyle w:val="chiffres2"/>
              <w:jc w:val="center"/>
            </w:pPr>
            <w:r>
              <w:t>1</w:t>
            </w:r>
          </w:p>
        </w:tc>
        <w:tc>
          <w:tcPr>
            <w:tcW w:w="1800" w:type="dxa"/>
            <w:shd w:val="clear" w:color="auto" w:fill="D9D9D9"/>
          </w:tcPr>
          <w:p w:rsidR="00ED0E89" w:rsidRPr="00EA0FF7" w:rsidRDefault="00ED0E89" w:rsidP="00F256FF">
            <w:pPr>
              <w:pStyle w:val="chiffres2"/>
              <w:jc w:val="center"/>
            </w:pPr>
            <w:r>
              <w:t>3</w:t>
            </w:r>
          </w:p>
        </w:tc>
      </w:tr>
      <w:tr w:rsidR="00ED0E89" w:rsidRPr="00EA0FF7" w:rsidTr="00E17D21">
        <w:trPr>
          <w:cantSplit/>
        </w:trPr>
        <w:tc>
          <w:tcPr>
            <w:tcW w:w="1716" w:type="dxa"/>
            <w:shd w:val="clear" w:color="auto" w:fill="D9D9D9"/>
          </w:tcPr>
          <w:p w:rsidR="00ED0E89" w:rsidRPr="00EA0FF7" w:rsidRDefault="00ED0E89" w:rsidP="003F6C69">
            <w:pPr>
              <w:pStyle w:val="chiffres2"/>
            </w:pPr>
            <w:r w:rsidRPr="00EA0FF7">
              <w:t>40-44</w:t>
            </w:r>
          </w:p>
        </w:tc>
        <w:tc>
          <w:tcPr>
            <w:tcW w:w="1800" w:type="dxa"/>
            <w:shd w:val="clear" w:color="auto" w:fill="D9D9D9"/>
          </w:tcPr>
          <w:p w:rsidR="00ED0E89" w:rsidRPr="00EA0FF7" w:rsidRDefault="00ED0E89" w:rsidP="00F256FF">
            <w:pPr>
              <w:pStyle w:val="chiffres2"/>
              <w:jc w:val="center"/>
            </w:pPr>
            <w:r>
              <w:t>9</w:t>
            </w:r>
          </w:p>
        </w:tc>
        <w:tc>
          <w:tcPr>
            <w:tcW w:w="1800" w:type="dxa"/>
            <w:shd w:val="clear" w:color="auto" w:fill="D9D9D9"/>
          </w:tcPr>
          <w:p w:rsidR="00ED0E89" w:rsidRPr="00EA0FF7" w:rsidRDefault="00ED0E89" w:rsidP="00F256FF">
            <w:pPr>
              <w:pStyle w:val="chiffres2"/>
              <w:jc w:val="center"/>
            </w:pPr>
            <w:r>
              <w:t>10</w:t>
            </w:r>
          </w:p>
        </w:tc>
      </w:tr>
      <w:tr w:rsidR="00ED0E89" w:rsidRPr="00EA0FF7" w:rsidTr="00E17D21">
        <w:trPr>
          <w:cantSplit/>
        </w:trPr>
        <w:tc>
          <w:tcPr>
            <w:tcW w:w="1716" w:type="dxa"/>
            <w:shd w:val="clear" w:color="auto" w:fill="FFFF00"/>
          </w:tcPr>
          <w:p w:rsidR="00ED0E89" w:rsidRPr="00EA0FF7" w:rsidRDefault="00ED0E89" w:rsidP="003F6C69">
            <w:pPr>
              <w:pStyle w:val="chiffres2"/>
              <w:rPr>
                <w:highlight w:val="yellow"/>
              </w:rPr>
            </w:pPr>
            <w:r w:rsidRPr="00BB6E7B">
              <w:t>45-49</w:t>
            </w:r>
          </w:p>
        </w:tc>
        <w:tc>
          <w:tcPr>
            <w:tcW w:w="1800" w:type="dxa"/>
            <w:shd w:val="clear" w:color="auto" w:fill="D9D9D9"/>
          </w:tcPr>
          <w:p w:rsidR="00ED0E89" w:rsidRPr="00EA0FF7" w:rsidRDefault="00ED0E89" w:rsidP="00F256FF">
            <w:pPr>
              <w:pStyle w:val="chiffres2"/>
              <w:jc w:val="center"/>
            </w:pPr>
            <w:r>
              <w:t>7</w:t>
            </w:r>
          </w:p>
        </w:tc>
        <w:tc>
          <w:tcPr>
            <w:tcW w:w="1800" w:type="dxa"/>
            <w:shd w:val="clear" w:color="auto" w:fill="FFFF00"/>
          </w:tcPr>
          <w:p w:rsidR="00ED0E89" w:rsidRPr="00EA0FF7" w:rsidRDefault="00ED0E89" w:rsidP="00F256FF">
            <w:pPr>
              <w:pStyle w:val="chiffres2"/>
              <w:jc w:val="center"/>
            </w:pPr>
            <w:r>
              <w:t>15</w:t>
            </w:r>
          </w:p>
        </w:tc>
      </w:tr>
      <w:tr w:rsidR="00ED0E89" w:rsidRPr="00EA0FF7" w:rsidTr="00E17D21">
        <w:trPr>
          <w:cantSplit/>
        </w:trPr>
        <w:tc>
          <w:tcPr>
            <w:tcW w:w="1716" w:type="dxa"/>
            <w:shd w:val="clear" w:color="auto" w:fill="FFFF00"/>
          </w:tcPr>
          <w:p w:rsidR="00ED0E89" w:rsidRPr="00EA0FF7" w:rsidRDefault="00ED0E89" w:rsidP="003F6C69">
            <w:pPr>
              <w:pStyle w:val="chiffres2"/>
              <w:rPr>
                <w:highlight w:val="yellow"/>
              </w:rPr>
            </w:pPr>
            <w:r w:rsidRPr="00BB6E7B">
              <w:t>50-59</w:t>
            </w:r>
          </w:p>
        </w:tc>
        <w:tc>
          <w:tcPr>
            <w:tcW w:w="1800" w:type="dxa"/>
            <w:shd w:val="clear" w:color="auto" w:fill="FFFF00"/>
          </w:tcPr>
          <w:p w:rsidR="00ED0E89" w:rsidRPr="00EA0FF7" w:rsidRDefault="00ED0E89" w:rsidP="00F256FF">
            <w:pPr>
              <w:pStyle w:val="chiffres2"/>
              <w:jc w:val="center"/>
            </w:pPr>
            <w:r>
              <w:t>35</w:t>
            </w:r>
          </w:p>
        </w:tc>
        <w:tc>
          <w:tcPr>
            <w:tcW w:w="1800" w:type="dxa"/>
            <w:shd w:val="clear" w:color="auto" w:fill="FFFF00"/>
          </w:tcPr>
          <w:p w:rsidR="00ED0E89" w:rsidRPr="00EA0FF7" w:rsidRDefault="00ED0E89" w:rsidP="00F256FF">
            <w:pPr>
              <w:pStyle w:val="chiffres2"/>
              <w:jc w:val="center"/>
            </w:pPr>
            <w:r>
              <w:t>30</w:t>
            </w:r>
          </w:p>
        </w:tc>
      </w:tr>
      <w:tr w:rsidR="00ED0E89" w:rsidRPr="00EA0FF7" w:rsidTr="00E17D21">
        <w:trPr>
          <w:cantSplit/>
        </w:trPr>
        <w:tc>
          <w:tcPr>
            <w:tcW w:w="1716" w:type="dxa"/>
            <w:shd w:val="clear" w:color="auto" w:fill="D9D9D9"/>
          </w:tcPr>
          <w:p w:rsidR="00ED0E89" w:rsidRPr="00EA0FF7" w:rsidRDefault="00ED0E89" w:rsidP="003F6C69">
            <w:pPr>
              <w:pStyle w:val="chiffres2"/>
            </w:pPr>
            <w:r w:rsidRPr="00EA0FF7">
              <w:t>60-69</w:t>
            </w:r>
          </w:p>
        </w:tc>
        <w:tc>
          <w:tcPr>
            <w:tcW w:w="1800" w:type="dxa"/>
            <w:shd w:val="clear" w:color="auto" w:fill="FFFF00"/>
          </w:tcPr>
          <w:p w:rsidR="00ED0E89" w:rsidRPr="00EA0FF7" w:rsidRDefault="00ED0E89" w:rsidP="00F256FF">
            <w:pPr>
              <w:pStyle w:val="chiffres2"/>
              <w:jc w:val="center"/>
            </w:pPr>
            <w:r>
              <w:t>34</w:t>
            </w:r>
          </w:p>
        </w:tc>
        <w:tc>
          <w:tcPr>
            <w:tcW w:w="1800" w:type="dxa"/>
            <w:shd w:val="clear" w:color="auto" w:fill="FFFF00"/>
          </w:tcPr>
          <w:p w:rsidR="00ED0E89" w:rsidRPr="00EA0FF7" w:rsidRDefault="00ED0E89" w:rsidP="00F256FF">
            <w:pPr>
              <w:pStyle w:val="chiffres2"/>
              <w:jc w:val="center"/>
            </w:pPr>
            <w:r>
              <w:t>13</w:t>
            </w:r>
          </w:p>
        </w:tc>
      </w:tr>
      <w:tr w:rsidR="00ED0E89" w:rsidRPr="00EA0FF7" w:rsidTr="00E17D21">
        <w:trPr>
          <w:cantSplit/>
        </w:trPr>
        <w:tc>
          <w:tcPr>
            <w:tcW w:w="1716" w:type="dxa"/>
            <w:shd w:val="clear" w:color="auto" w:fill="D9D9D9"/>
          </w:tcPr>
          <w:p w:rsidR="00ED0E89" w:rsidRPr="00EA0FF7" w:rsidRDefault="00ED0E89" w:rsidP="003F6C69">
            <w:pPr>
              <w:pStyle w:val="chiffres2"/>
            </w:pPr>
            <w:r w:rsidRPr="00EA0FF7">
              <w:t>70-79</w:t>
            </w:r>
          </w:p>
        </w:tc>
        <w:tc>
          <w:tcPr>
            <w:tcW w:w="1800" w:type="dxa"/>
            <w:shd w:val="clear" w:color="auto" w:fill="D9D9D9"/>
          </w:tcPr>
          <w:p w:rsidR="00ED0E89" w:rsidRPr="00EA0FF7" w:rsidRDefault="00ED0E89" w:rsidP="00F256FF">
            <w:pPr>
              <w:pStyle w:val="chiffres2"/>
              <w:jc w:val="center"/>
            </w:pPr>
            <w:r>
              <w:t>7</w:t>
            </w:r>
          </w:p>
        </w:tc>
        <w:tc>
          <w:tcPr>
            <w:tcW w:w="1800" w:type="dxa"/>
            <w:shd w:val="clear" w:color="auto" w:fill="D9D9D9"/>
          </w:tcPr>
          <w:p w:rsidR="00ED0E89" w:rsidRPr="00EA0FF7" w:rsidRDefault="00ED0E89" w:rsidP="00F256FF">
            <w:pPr>
              <w:pStyle w:val="chiffres2"/>
              <w:jc w:val="center"/>
            </w:pPr>
            <w:r w:rsidRPr="00EA0FF7">
              <w:t>3</w:t>
            </w:r>
          </w:p>
        </w:tc>
      </w:tr>
      <w:tr w:rsidR="00ED0E89" w:rsidRPr="00EA0FF7" w:rsidTr="00E17D21">
        <w:trPr>
          <w:cantSplit/>
        </w:trPr>
        <w:tc>
          <w:tcPr>
            <w:tcW w:w="1716" w:type="dxa"/>
            <w:shd w:val="clear" w:color="auto" w:fill="D9D9D9"/>
          </w:tcPr>
          <w:p w:rsidR="00ED0E89" w:rsidRPr="00EA0FF7" w:rsidRDefault="00ED0E89" w:rsidP="003F6C69">
            <w:pPr>
              <w:pStyle w:val="chiffres2"/>
            </w:pPr>
            <w:r w:rsidRPr="00EA0FF7">
              <w:t>80+</w:t>
            </w:r>
          </w:p>
        </w:tc>
        <w:tc>
          <w:tcPr>
            <w:tcW w:w="1800" w:type="dxa"/>
            <w:shd w:val="clear" w:color="auto" w:fill="D9D9D9"/>
          </w:tcPr>
          <w:p w:rsidR="00ED0E89" w:rsidRPr="00EA0FF7" w:rsidRDefault="00ED0E89" w:rsidP="00F256FF">
            <w:pPr>
              <w:pStyle w:val="chiffres2"/>
              <w:jc w:val="center"/>
            </w:pPr>
            <w:r>
              <w:t>7</w:t>
            </w:r>
          </w:p>
        </w:tc>
        <w:tc>
          <w:tcPr>
            <w:tcW w:w="1800" w:type="dxa"/>
            <w:shd w:val="clear" w:color="auto" w:fill="D9D9D9"/>
            <w:vAlign w:val="center"/>
          </w:tcPr>
          <w:p w:rsidR="00ED0E89" w:rsidRPr="00EA0FF7" w:rsidRDefault="00ED0E89" w:rsidP="00F256FF">
            <w:pPr>
              <w:pStyle w:val="chiffres2"/>
              <w:jc w:val="center"/>
            </w:pPr>
            <w:r>
              <w:t>15</w:t>
            </w:r>
          </w:p>
        </w:tc>
      </w:tr>
    </w:tbl>
    <w:p w:rsidR="00ED0E89" w:rsidRDefault="00ED0E89" w:rsidP="00763264">
      <w:pPr>
        <w:pStyle w:val="p"/>
      </w:pPr>
    </w:p>
    <w:p w:rsidR="00ED0E89" w:rsidRPr="00EA0FF7" w:rsidRDefault="00ED0E89" w:rsidP="00ED0E89">
      <w:pPr>
        <w:pStyle w:val="Heading2"/>
        <w:rPr>
          <w:lang w:val="en-CA"/>
        </w:rPr>
      </w:pPr>
      <w:bookmarkStart w:id="25" w:name="_Toc408662185"/>
      <w:bookmarkStart w:id="26" w:name="_Toc428799769"/>
      <w:r>
        <w:rPr>
          <w:lang w:val="en-CA"/>
        </w:rPr>
        <w:t xml:space="preserve">Hours developers </w:t>
      </w:r>
      <w:r w:rsidRPr="00EA0FF7">
        <w:rPr>
          <w:lang w:val="en-CA"/>
        </w:rPr>
        <w:t>actual</w:t>
      </w:r>
      <w:r>
        <w:rPr>
          <w:lang w:val="en-CA"/>
        </w:rPr>
        <w:t>ly work on crunch time</w:t>
      </w:r>
      <w:bookmarkEnd w:id="25"/>
      <w:bookmarkEnd w:id="26"/>
    </w:p>
    <w:p w:rsidR="00ED0E89" w:rsidRPr="00ED0E89" w:rsidRDefault="00ED0E89" w:rsidP="00763264">
      <w:pPr>
        <w:pStyle w:val="p"/>
      </w:pPr>
      <w:r w:rsidRPr="00ED0E89">
        <w:t xml:space="preserve">When we turn to the declared actual duration of the crunch time, we first have to </w:t>
      </w:r>
      <w:r w:rsidRPr="00ED0E89">
        <w:lastRenderedPageBreak/>
        <w:t>acknowledge that we do not have a standardised data set and therefore this data is not as accurate as one based on a stable questionnaire. That said</w:t>
      </w:r>
      <w:proofErr w:type="gramStart"/>
      <w:r w:rsidRPr="00ED0E89">
        <w:t>,</w:t>
      </w:r>
      <w:proofErr w:type="gramEnd"/>
      <w:r w:rsidRPr="00ED0E89">
        <w:t xml:space="preserve"> we have arranged data here to take advantage of more detailed data in 2009 and 2014, and still manage to compare the outcomes of the three surveys. </w:t>
      </w:r>
    </w:p>
    <w:p w:rsidR="00ED0E89" w:rsidRPr="00ED0E89" w:rsidRDefault="00ED0E89" w:rsidP="00763264">
      <w:pPr>
        <w:pStyle w:val="p"/>
      </w:pPr>
      <w:r w:rsidRPr="00ED0E89">
        <w:t>The 2014 data show a more distributed set of frequencies and a trend towards fewer respondents working more than 60 hours a week while in crunch (67% in 2004, 54% in 2009 but 36% in 2014)</w:t>
      </w:r>
      <w:r w:rsidR="003D41BB">
        <w:t>(Table 9)</w:t>
      </w:r>
      <w:r w:rsidRPr="00ED0E89">
        <w:t>. Though clear, this trend is contradicted by a constant share of respondents working 80 hours and more</w:t>
      </w:r>
      <w:r w:rsidR="003D41BB">
        <w:t>.</w:t>
      </w:r>
      <w:r w:rsidR="00F35D45">
        <w:t xml:space="preserve"> </w:t>
      </w:r>
      <w:r w:rsidR="003D41BB">
        <w:t>A graphical representation of this data (</w:t>
      </w:r>
      <w:r w:rsidR="00D97B1A">
        <w:t>Chart </w:t>
      </w:r>
      <w:r w:rsidR="003D41BB">
        <w:t xml:space="preserve">7) helps us to note that this spike in 2014 returns to 2004 levels. These numbers show that there is </w:t>
      </w:r>
      <w:r w:rsidRPr="00ED0E89">
        <w:t xml:space="preserve">a constant hard core of studios practicing intense crunch. </w:t>
      </w:r>
    </w:p>
    <w:p w:rsidR="00ED0E89" w:rsidRPr="00BA70E3" w:rsidRDefault="00ED0E89" w:rsidP="00BA70E3">
      <w:pPr>
        <w:pStyle w:val="Heading5"/>
        <w:rPr>
          <w:lang w:val="en-CA"/>
        </w:rPr>
      </w:pPr>
      <w:r w:rsidRPr="00BA70E3">
        <w:rPr>
          <w:lang w:val="en-CA"/>
        </w:rPr>
        <w:t>Table 9</w:t>
      </w:r>
    </w:p>
    <w:p w:rsidR="00ED0E89" w:rsidRPr="00BA70E3" w:rsidRDefault="00ED0E89" w:rsidP="00BA70E3">
      <w:pPr>
        <w:pStyle w:val="Heading5"/>
        <w:rPr>
          <w:lang w:val="en-CA"/>
        </w:rPr>
      </w:pPr>
      <w:r w:rsidRPr="00BA70E3">
        <w:rPr>
          <w:lang w:val="en-CA"/>
        </w:rPr>
        <w:t>How many hours per week on average do you ACTUALLY work when in CRUNCH time?</w:t>
      </w:r>
    </w:p>
    <w:tbl>
      <w:tblPr>
        <w:tblW w:w="7116" w:type="dxa"/>
        <w:tblInd w:w="116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000" w:firstRow="0" w:lastRow="0" w:firstColumn="0" w:lastColumn="0" w:noHBand="0" w:noVBand="0"/>
      </w:tblPr>
      <w:tblGrid>
        <w:gridCol w:w="1716"/>
        <w:gridCol w:w="1800"/>
        <w:gridCol w:w="1800"/>
        <w:gridCol w:w="1800"/>
      </w:tblGrid>
      <w:tr w:rsidR="00ED0E89" w:rsidRPr="00EA0FF7" w:rsidTr="00E17D21">
        <w:trPr>
          <w:cantSplit/>
        </w:trPr>
        <w:tc>
          <w:tcPr>
            <w:tcW w:w="1716" w:type="dxa"/>
            <w:shd w:val="clear" w:color="auto" w:fill="D9D9D9"/>
          </w:tcPr>
          <w:p w:rsidR="00ED0E89" w:rsidRPr="00EA0FF7" w:rsidRDefault="00ED0E89" w:rsidP="003F6C69">
            <w:pPr>
              <w:pStyle w:val="chiffres"/>
              <w:rPr>
                <w:lang w:val="en-CA"/>
              </w:rPr>
            </w:pPr>
          </w:p>
        </w:tc>
        <w:tc>
          <w:tcPr>
            <w:tcW w:w="1800" w:type="dxa"/>
            <w:shd w:val="clear" w:color="auto" w:fill="D9D9D9"/>
          </w:tcPr>
          <w:p w:rsidR="00ED0E89" w:rsidRPr="00EA0FF7" w:rsidRDefault="00ED0E89" w:rsidP="003F6C69">
            <w:pPr>
              <w:pStyle w:val="chiffres"/>
              <w:rPr>
                <w:lang w:val="en-CA"/>
              </w:rPr>
            </w:pPr>
            <w:r w:rsidRPr="00EA0FF7">
              <w:rPr>
                <w:lang w:val="en-CA"/>
              </w:rPr>
              <w:t xml:space="preserve">2004 </w:t>
            </w:r>
          </w:p>
        </w:tc>
        <w:tc>
          <w:tcPr>
            <w:tcW w:w="1800" w:type="dxa"/>
            <w:shd w:val="clear" w:color="auto" w:fill="D9D9D9"/>
          </w:tcPr>
          <w:p w:rsidR="00ED0E89" w:rsidRPr="00EA0FF7" w:rsidRDefault="00ED0E89" w:rsidP="003F6C69">
            <w:pPr>
              <w:pStyle w:val="chiffres"/>
              <w:rPr>
                <w:lang w:val="en-CA"/>
              </w:rPr>
            </w:pPr>
            <w:r w:rsidRPr="00EA0FF7">
              <w:rPr>
                <w:lang w:val="en-CA"/>
              </w:rPr>
              <w:t>2009</w:t>
            </w:r>
          </w:p>
        </w:tc>
        <w:tc>
          <w:tcPr>
            <w:tcW w:w="1800" w:type="dxa"/>
            <w:shd w:val="clear" w:color="auto" w:fill="D9D9D9"/>
            <w:vAlign w:val="center"/>
          </w:tcPr>
          <w:p w:rsidR="00ED0E89" w:rsidRPr="00EA0FF7" w:rsidRDefault="00ED0E89" w:rsidP="003F6C69">
            <w:pPr>
              <w:pStyle w:val="chiffres"/>
              <w:rPr>
                <w:lang w:val="en-CA"/>
              </w:rPr>
            </w:pPr>
            <w:r w:rsidRPr="00EA0FF7">
              <w:rPr>
                <w:lang w:val="en-CA"/>
              </w:rPr>
              <w:t>2014</w:t>
            </w:r>
          </w:p>
        </w:tc>
      </w:tr>
      <w:tr w:rsidR="00ED0E89" w:rsidRPr="00EA0FF7" w:rsidTr="00E17D21">
        <w:trPr>
          <w:cantSplit/>
        </w:trPr>
        <w:tc>
          <w:tcPr>
            <w:tcW w:w="1716" w:type="dxa"/>
            <w:shd w:val="clear" w:color="auto" w:fill="D9D9D9"/>
          </w:tcPr>
          <w:p w:rsidR="00ED0E89" w:rsidRPr="00EA0FF7" w:rsidRDefault="00ED0E89" w:rsidP="003F6C69">
            <w:pPr>
              <w:pStyle w:val="chiffres2"/>
            </w:pPr>
            <w:r w:rsidRPr="00EA0FF7">
              <w:t xml:space="preserve">&lt;20 </w:t>
            </w:r>
            <w:proofErr w:type="spellStart"/>
            <w:r w:rsidRPr="00EA0FF7">
              <w:t>hrs</w:t>
            </w:r>
            <w:proofErr w:type="spellEnd"/>
          </w:p>
        </w:tc>
        <w:tc>
          <w:tcPr>
            <w:tcW w:w="1800" w:type="dxa"/>
            <w:vMerge w:val="restart"/>
            <w:shd w:val="clear" w:color="auto" w:fill="D9D9D9"/>
          </w:tcPr>
          <w:p w:rsidR="00ED0E89" w:rsidRPr="00EA0FF7" w:rsidRDefault="00ED0E89" w:rsidP="003D41BB">
            <w:pPr>
              <w:pStyle w:val="chiffres2"/>
              <w:jc w:val="center"/>
            </w:pPr>
            <w:r>
              <w:t>0</w:t>
            </w:r>
          </w:p>
        </w:tc>
        <w:tc>
          <w:tcPr>
            <w:tcW w:w="1800" w:type="dxa"/>
            <w:shd w:val="clear" w:color="auto" w:fill="D9D9D9"/>
          </w:tcPr>
          <w:p w:rsidR="00ED0E89" w:rsidRPr="00EA0FF7" w:rsidRDefault="00ED0E89" w:rsidP="003D41BB">
            <w:pPr>
              <w:pStyle w:val="chiffres2"/>
              <w:jc w:val="center"/>
            </w:pPr>
            <w:r>
              <w:t>1</w:t>
            </w:r>
          </w:p>
        </w:tc>
        <w:tc>
          <w:tcPr>
            <w:tcW w:w="1800" w:type="dxa"/>
            <w:shd w:val="clear" w:color="auto" w:fill="D9D9D9"/>
          </w:tcPr>
          <w:p w:rsidR="00ED0E89" w:rsidRPr="00EA0FF7" w:rsidRDefault="00ED0E89" w:rsidP="003D41BB">
            <w:pPr>
              <w:pStyle w:val="chiffres2"/>
              <w:jc w:val="center"/>
            </w:pPr>
            <w:r w:rsidRPr="00EA0FF7">
              <w:t>9</w:t>
            </w:r>
          </w:p>
        </w:tc>
      </w:tr>
      <w:tr w:rsidR="00ED0E89" w:rsidRPr="00EA0FF7" w:rsidTr="00E17D21">
        <w:trPr>
          <w:cantSplit/>
        </w:trPr>
        <w:tc>
          <w:tcPr>
            <w:tcW w:w="1716" w:type="dxa"/>
            <w:shd w:val="clear" w:color="auto" w:fill="D9D9D9"/>
          </w:tcPr>
          <w:p w:rsidR="00ED0E89" w:rsidRPr="00EA0FF7" w:rsidRDefault="00ED0E89" w:rsidP="003F6C69">
            <w:pPr>
              <w:pStyle w:val="chiffres2"/>
            </w:pPr>
            <w:r w:rsidRPr="00EA0FF7">
              <w:t>20-24</w:t>
            </w:r>
          </w:p>
        </w:tc>
        <w:tc>
          <w:tcPr>
            <w:tcW w:w="1800" w:type="dxa"/>
            <w:vMerge/>
            <w:shd w:val="clear" w:color="auto" w:fill="D9D9D9"/>
          </w:tcPr>
          <w:p w:rsidR="00ED0E89" w:rsidRPr="00EA0FF7" w:rsidRDefault="00ED0E89" w:rsidP="003D41BB">
            <w:pPr>
              <w:pStyle w:val="chiffres2"/>
              <w:jc w:val="center"/>
            </w:pPr>
          </w:p>
        </w:tc>
        <w:tc>
          <w:tcPr>
            <w:tcW w:w="1800" w:type="dxa"/>
            <w:vMerge w:val="restart"/>
            <w:shd w:val="clear" w:color="auto" w:fill="D9D9D9"/>
          </w:tcPr>
          <w:p w:rsidR="00ED0E89" w:rsidRPr="00EA0FF7" w:rsidRDefault="00ED0E89" w:rsidP="003D41BB">
            <w:pPr>
              <w:pStyle w:val="chiffres2"/>
              <w:jc w:val="center"/>
            </w:pPr>
            <w:r>
              <w:t>0</w:t>
            </w:r>
          </w:p>
        </w:tc>
        <w:tc>
          <w:tcPr>
            <w:tcW w:w="1800" w:type="dxa"/>
            <w:shd w:val="clear" w:color="auto" w:fill="D9D9D9"/>
          </w:tcPr>
          <w:p w:rsidR="00ED0E89" w:rsidRPr="00EA0FF7" w:rsidRDefault="00ED0E89" w:rsidP="003D41BB">
            <w:pPr>
              <w:pStyle w:val="chiffres2"/>
              <w:jc w:val="center"/>
            </w:pPr>
            <w:r>
              <w:t>1</w:t>
            </w:r>
          </w:p>
        </w:tc>
      </w:tr>
      <w:tr w:rsidR="00ED0E89" w:rsidRPr="00EA0FF7" w:rsidTr="00E17D21">
        <w:trPr>
          <w:cantSplit/>
        </w:trPr>
        <w:tc>
          <w:tcPr>
            <w:tcW w:w="1716" w:type="dxa"/>
            <w:shd w:val="clear" w:color="auto" w:fill="D9D9D9"/>
          </w:tcPr>
          <w:p w:rsidR="00ED0E89" w:rsidRPr="00EA0FF7" w:rsidRDefault="00ED0E89" w:rsidP="003F6C69">
            <w:pPr>
              <w:pStyle w:val="chiffres2"/>
            </w:pPr>
            <w:r w:rsidRPr="00EA0FF7">
              <w:t>25-29</w:t>
            </w:r>
          </w:p>
        </w:tc>
        <w:tc>
          <w:tcPr>
            <w:tcW w:w="1800" w:type="dxa"/>
            <w:vMerge/>
            <w:shd w:val="clear" w:color="auto" w:fill="D9D9D9"/>
          </w:tcPr>
          <w:p w:rsidR="00ED0E89" w:rsidRPr="00EA0FF7" w:rsidRDefault="00ED0E89" w:rsidP="003D41BB">
            <w:pPr>
              <w:pStyle w:val="chiffres2"/>
              <w:jc w:val="center"/>
            </w:pPr>
          </w:p>
        </w:tc>
        <w:tc>
          <w:tcPr>
            <w:tcW w:w="1800" w:type="dxa"/>
            <w:vMerge/>
            <w:shd w:val="clear" w:color="auto" w:fill="D9D9D9"/>
          </w:tcPr>
          <w:p w:rsidR="00ED0E89" w:rsidRPr="00EA0FF7" w:rsidRDefault="00ED0E89" w:rsidP="003D41BB">
            <w:pPr>
              <w:pStyle w:val="chiffres2"/>
              <w:jc w:val="center"/>
            </w:pPr>
          </w:p>
        </w:tc>
        <w:tc>
          <w:tcPr>
            <w:tcW w:w="1800" w:type="dxa"/>
            <w:shd w:val="clear" w:color="auto" w:fill="D9D9D9"/>
          </w:tcPr>
          <w:p w:rsidR="00ED0E89" w:rsidRPr="00EA0FF7" w:rsidRDefault="00ED0E89" w:rsidP="003D41BB">
            <w:pPr>
              <w:pStyle w:val="chiffres2"/>
              <w:jc w:val="center"/>
            </w:pPr>
            <w:r>
              <w:t>1</w:t>
            </w:r>
          </w:p>
        </w:tc>
      </w:tr>
      <w:tr w:rsidR="00ED0E89" w:rsidRPr="00EA0FF7" w:rsidTr="00E17D21">
        <w:trPr>
          <w:cantSplit/>
        </w:trPr>
        <w:tc>
          <w:tcPr>
            <w:tcW w:w="1716" w:type="dxa"/>
            <w:shd w:val="clear" w:color="auto" w:fill="D9D9D9"/>
          </w:tcPr>
          <w:p w:rsidR="00ED0E89" w:rsidRPr="00EA0FF7" w:rsidRDefault="00ED0E89" w:rsidP="003F6C69">
            <w:pPr>
              <w:pStyle w:val="chiffres2"/>
            </w:pPr>
            <w:r w:rsidRPr="00EA0FF7">
              <w:t>30-34</w:t>
            </w:r>
          </w:p>
        </w:tc>
        <w:tc>
          <w:tcPr>
            <w:tcW w:w="1800" w:type="dxa"/>
            <w:vMerge/>
            <w:shd w:val="clear" w:color="auto" w:fill="D9D9D9"/>
          </w:tcPr>
          <w:p w:rsidR="00ED0E89" w:rsidRPr="00EA0FF7" w:rsidRDefault="00ED0E89" w:rsidP="003D41BB">
            <w:pPr>
              <w:pStyle w:val="chiffres2"/>
              <w:jc w:val="center"/>
            </w:pPr>
          </w:p>
        </w:tc>
        <w:tc>
          <w:tcPr>
            <w:tcW w:w="1800" w:type="dxa"/>
            <w:shd w:val="clear" w:color="auto" w:fill="D9D9D9"/>
          </w:tcPr>
          <w:p w:rsidR="00ED0E89" w:rsidRPr="00EA0FF7" w:rsidRDefault="00ED0E89" w:rsidP="003D41BB">
            <w:pPr>
              <w:pStyle w:val="chiffres2"/>
              <w:jc w:val="center"/>
            </w:pPr>
            <w:r>
              <w:t>1</w:t>
            </w:r>
          </w:p>
        </w:tc>
        <w:tc>
          <w:tcPr>
            <w:tcW w:w="1800" w:type="dxa"/>
            <w:shd w:val="clear" w:color="auto" w:fill="D9D9D9"/>
          </w:tcPr>
          <w:p w:rsidR="00ED0E89" w:rsidRPr="00EA0FF7" w:rsidRDefault="00ED0E89" w:rsidP="003D41BB">
            <w:pPr>
              <w:pStyle w:val="chiffres2"/>
              <w:jc w:val="center"/>
            </w:pPr>
            <w:r>
              <w:t>2</w:t>
            </w:r>
          </w:p>
        </w:tc>
      </w:tr>
      <w:tr w:rsidR="00ED0E89" w:rsidRPr="00EA0FF7" w:rsidTr="00E17D21">
        <w:trPr>
          <w:cantSplit/>
        </w:trPr>
        <w:tc>
          <w:tcPr>
            <w:tcW w:w="1716" w:type="dxa"/>
            <w:shd w:val="clear" w:color="auto" w:fill="D9D9D9"/>
          </w:tcPr>
          <w:p w:rsidR="00ED0E89" w:rsidRPr="00EA0FF7" w:rsidRDefault="00ED0E89" w:rsidP="003F6C69">
            <w:pPr>
              <w:pStyle w:val="chiffres2"/>
            </w:pPr>
            <w:r w:rsidRPr="00EA0FF7">
              <w:t>35-39</w:t>
            </w:r>
          </w:p>
        </w:tc>
        <w:tc>
          <w:tcPr>
            <w:tcW w:w="1800" w:type="dxa"/>
            <w:vMerge w:val="restart"/>
            <w:shd w:val="clear" w:color="auto" w:fill="D9D9D9"/>
          </w:tcPr>
          <w:p w:rsidR="00ED0E89" w:rsidRPr="00EA0FF7" w:rsidRDefault="00ED0E89" w:rsidP="003D41BB">
            <w:pPr>
              <w:pStyle w:val="chiffres2"/>
              <w:jc w:val="center"/>
            </w:pPr>
            <w:r>
              <w:t>3</w:t>
            </w:r>
          </w:p>
        </w:tc>
        <w:tc>
          <w:tcPr>
            <w:tcW w:w="1800" w:type="dxa"/>
            <w:shd w:val="clear" w:color="auto" w:fill="D9D9D9"/>
          </w:tcPr>
          <w:p w:rsidR="00ED0E89" w:rsidRPr="00EA0FF7" w:rsidRDefault="00ED0E89" w:rsidP="003D41BB">
            <w:pPr>
              <w:pStyle w:val="chiffres2"/>
              <w:jc w:val="center"/>
            </w:pPr>
            <w:r>
              <w:t>1</w:t>
            </w:r>
          </w:p>
        </w:tc>
        <w:tc>
          <w:tcPr>
            <w:tcW w:w="1800" w:type="dxa"/>
            <w:shd w:val="clear" w:color="auto" w:fill="D9D9D9"/>
          </w:tcPr>
          <w:p w:rsidR="00ED0E89" w:rsidRPr="00EA0FF7" w:rsidRDefault="00ED0E89" w:rsidP="003D41BB">
            <w:pPr>
              <w:pStyle w:val="chiffres2"/>
              <w:jc w:val="center"/>
            </w:pPr>
            <w:r>
              <w:t>2</w:t>
            </w:r>
          </w:p>
        </w:tc>
      </w:tr>
      <w:tr w:rsidR="00ED0E89" w:rsidRPr="00EA0FF7" w:rsidTr="00E17D21">
        <w:trPr>
          <w:cantSplit/>
        </w:trPr>
        <w:tc>
          <w:tcPr>
            <w:tcW w:w="1716" w:type="dxa"/>
            <w:shd w:val="clear" w:color="auto" w:fill="D9D9D9"/>
          </w:tcPr>
          <w:p w:rsidR="00ED0E89" w:rsidRPr="00EA0FF7" w:rsidRDefault="00ED0E89" w:rsidP="003F6C69">
            <w:pPr>
              <w:pStyle w:val="chiffres2"/>
            </w:pPr>
            <w:r w:rsidRPr="00EA0FF7">
              <w:t>40-44</w:t>
            </w:r>
          </w:p>
        </w:tc>
        <w:tc>
          <w:tcPr>
            <w:tcW w:w="1800" w:type="dxa"/>
            <w:vMerge/>
            <w:shd w:val="clear" w:color="auto" w:fill="D9D9D9"/>
          </w:tcPr>
          <w:p w:rsidR="00ED0E89" w:rsidRPr="00EA0FF7" w:rsidRDefault="00ED0E89" w:rsidP="003D41BB">
            <w:pPr>
              <w:pStyle w:val="chiffres2"/>
              <w:jc w:val="center"/>
            </w:pPr>
          </w:p>
        </w:tc>
        <w:tc>
          <w:tcPr>
            <w:tcW w:w="1800" w:type="dxa"/>
            <w:shd w:val="clear" w:color="auto" w:fill="D9D9D9"/>
          </w:tcPr>
          <w:p w:rsidR="00ED0E89" w:rsidRPr="00EA0FF7" w:rsidRDefault="00ED0E89" w:rsidP="003D41BB">
            <w:pPr>
              <w:pStyle w:val="chiffres2"/>
              <w:jc w:val="center"/>
            </w:pPr>
            <w:r>
              <w:t>5</w:t>
            </w:r>
          </w:p>
        </w:tc>
        <w:tc>
          <w:tcPr>
            <w:tcW w:w="1800" w:type="dxa"/>
            <w:shd w:val="clear" w:color="auto" w:fill="D9D9D9"/>
          </w:tcPr>
          <w:p w:rsidR="00ED0E89" w:rsidRPr="00EA0FF7" w:rsidRDefault="00ED0E89" w:rsidP="003D41BB">
            <w:pPr>
              <w:pStyle w:val="chiffres2"/>
              <w:jc w:val="center"/>
            </w:pPr>
            <w:r>
              <w:t>9</w:t>
            </w:r>
          </w:p>
        </w:tc>
      </w:tr>
      <w:tr w:rsidR="00ED0E89" w:rsidRPr="00EA0FF7" w:rsidTr="00E17D21">
        <w:trPr>
          <w:cantSplit/>
        </w:trPr>
        <w:tc>
          <w:tcPr>
            <w:tcW w:w="1716" w:type="dxa"/>
            <w:shd w:val="clear" w:color="auto" w:fill="D9D9D9"/>
          </w:tcPr>
          <w:p w:rsidR="00ED0E89" w:rsidRPr="00EA0FF7" w:rsidRDefault="00ED0E89" w:rsidP="003F6C69">
            <w:pPr>
              <w:pStyle w:val="chiffres2"/>
              <w:rPr>
                <w:highlight w:val="yellow"/>
              </w:rPr>
            </w:pPr>
            <w:r w:rsidRPr="00EA0FF7">
              <w:t>45-49</w:t>
            </w:r>
          </w:p>
        </w:tc>
        <w:tc>
          <w:tcPr>
            <w:tcW w:w="1800" w:type="dxa"/>
            <w:shd w:val="clear" w:color="auto" w:fill="D9D9D9"/>
          </w:tcPr>
          <w:p w:rsidR="00ED0E89" w:rsidRPr="00EA0FF7" w:rsidRDefault="00ED0E89" w:rsidP="003D41BB">
            <w:pPr>
              <w:pStyle w:val="chiffres2"/>
              <w:jc w:val="center"/>
            </w:pPr>
            <w:r>
              <w:t>6</w:t>
            </w:r>
          </w:p>
        </w:tc>
        <w:tc>
          <w:tcPr>
            <w:tcW w:w="1800" w:type="dxa"/>
            <w:shd w:val="clear" w:color="auto" w:fill="D9D9D9"/>
          </w:tcPr>
          <w:p w:rsidR="00ED0E89" w:rsidRPr="00EA0FF7" w:rsidRDefault="00ED0E89" w:rsidP="003D41BB">
            <w:pPr>
              <w:pStyle w:val="chiffres2"/>
              <w:jc w:val="center"/>
            </w:pPr>
            <w:r>
              <w:t>8</w:t>
            </w:r>
          </w:p>
        </w:tc>
        <w:tc>
          <w:tcPr>
            <w:tcW w:w="1800" w:type="dxa"/>
            <w:shd w:val="clear" w:color="auto" w:fill="D9D9D9"/>
          </w:tcPr>
          <w:p w:rsidR="00ED0E89" w:rsidRPr="00EA0FF7" w:rsidRDefault="00ED0E89" w:rsidP="003D41BB">
            <w:pPr>
              <w:pStyle w:val="chiffres2"/>
              <w:jc w:val="center"/>
            </w:pPr>
            <w:r>
              <w:t>12</w:t>
            </w:r>
          </w:p>
        </w:tc>
      </w:tr>
      <w:tr w:rsidR="00ED0E89" w:rsidRPr="00EA0FF7" w:rsidTr="00E17D21">
        <w:trPr>
          <w:cantSplit/>
        </w:trPr>
        <w:tc>
          <w:tcPr>
            <w:tcW w:w="1716" w:type="dxa"/>
            <w:shd w:val="clear" w:color="auto" w:fill="FFFF00"/>
          </w:tcPr>
          <w:p w:rsidR="00ED0E89" w:rsidRPr="00EA0FF7" w:rsidRDefault="00ED0E89" w:rsidP="003F6C69">
            <w:pPr>
              <w:pStyle w:val="chiffres2"/>
              <w:rPr>
                <w:highlight w:val="yellow"/>
              </w:rPr>
            </w:pPr>
            <w:r w:rsidRPr="00BB6E7B">
              <w:t>50-59</w:t>
            </w:r>
          </w:p>
        </w:tc>
        <w:tc>
          <w:tcPr>
            <w:tcW w:w="1800" w:type="dxa"/>
            <w:shd w:val="clear" w:color="auto" w:fill="FFFF00"/>
          </w:tcPr>
          <w:p w:rsidR="00ED0E89" w:rsidRPr="00EA0FF7" w:rsidRDefault="00ED0E89" w:rsidP="003D41BB">
            <w:pPr>
              <w:pStyle w:val="chiffres2"/>
              <w:jc w:val="center"/>
            </w:pPr>
            <w:r>
              <w:t>23</w:t>
            </w:r>
          </w:p>
        </w:tc>
        <w:tc>
          <w:tcPr>
            <w:tcW w:w="1800" w:type="dxa"/>
            <w:shd w:val="clear" w:color="auto" w:fill="FFFF00"/>
          </w:tcPr>
          <w:p w:rsidR="00ED0E89" w:rsidRPr="00EA0FF7" w:rsidRDefault="00ED0E89" w:rsidP="003D41BB">
            <w:pPr>
              <w:pStyle w:val="chiffres2"/>
              <w:jc w:val="center"/>
            </w:pPr>
            <w:r>
              <w:t>32</w:t>
            </w:r>
          </w:p>
        </w:tc>
        <w:tc>
          <w:tcPr>
            <w:tcW w:w="1800" w:type="dxa"/>
            <w:shd w:val="clear" w:color="auto" w:fill="FFFF00"/>
          </w:tcPr>
          <w:p w:rsidR="00ED0E89" w:rsidRPr="00EA0FF7" w:rsidRDefault="00ED0E89" w:rsidP="003D41BB">
            <w:pPr>
              <w:pStyle w:val="chiffres2"/>
              <w:jc w:val="center"/>
            </w:pPr>
            <w:r>
              <w:t>29</w:t>
            </w:r>
          </w:p>
        </w:tc>
      </w:tr>
      <w:tr w:rsidR="00ED0E89" w:rsidRPr="00EA0FF7" w:rsidTr="00E17D21">
        <w:trPr>
          <w:cantSplit/>
        </w:trPr>
        <w:tc>
          <w:tcPr>
            <w:tcW w:w="1716" w:type="dxa"/>
            <w:shd w:val="clear" w:color="auto" w:fill="D9D9D9"/>
          </w:tcPr>
          <w:p w:rsidR="00ED0E89" w:rsidRPr="00EA0FF7" w:rsidRDefault="00ED0E89" w:rsidP="003F6C69">
            <w:pPr>
              <w:pStyle w:val="chiffres2"/>
            </w:pPr>
            <w:r w:rsidRPr="00EA0FF7">
              <w:t>60-69</w:t>
            </w:r>
          </w:p>
        </w:tc>
        <w:tc>
          <w:tcPr>
            <w:tcW w:w="1800" w:type="dxa"/>
            <w:shd w:val="clear" w:color="auto" w:fill="FFFF00"/>
          </w:tcPr>
          <w:p w:rsidR="00ED0E89" w:rsidRPr="00EA0FF7" w:rsidRDefault="00ED0E89" w:rsidP="003D41BB">
            <w:pPr>
              <w:pStyle w:val="chiffres2"/>
              <w:jc w:val="center"/>
            </w:pPr>
            <w:r>
              <w:t>29</w:t>
            </w:r>
          </w:p>
        </w:tc>
        <w:tc>
          <w:tcPr>
            <w:tcW w:w="1800" w:type="dxa"/>
            <w:shd w:val="clear" w:color="auto" w:fill="FFFF00"/>
          </w:tcPr>
          <w:p w:rsidR="00ED0E89" w:rsidRPr="00EA0FF7" w:rsidRDefault="00ED0E89" w:rsidP="003D41BB">
            <w:pPr>
              <w:pStyle w:val="chiffres2"/>
              <w:jc w:val="center"/>
            </w:pPr>
            <w:r>
              <w:t>32</w:t>
            </w:r>
          </w:p>
        </w:tc>
        <w:tc>
          <w:tcPr>
            <w:tcW w:w="1800" w:type="dxa"/>
            <w:shd w:val="clear" w:color="auto" w:fill="FFFF00"/>
          </w:tcPr>
          <w:p w:rsidR="00ED0E89" w:rsidRPr="00EA0FF7" w:rsidRDefault="00ED0E89" w:rsidP="003D41BB">
            <w:pPr>
              <w:pStyle w:val="chiffres2"/>
              <w:jc w:val="center"/>
            </w:pPr>
            <w:r>
              <w:t>16</w:t>
            </w:r>
          </w:p>
        </w:tc>
      </w:tr>
      <w:tr w:rsidR="00ED0E89" w:rsidRPr="00EA0FF7" w:rsidTr="00E17D21">
        <w:trPr>
          <w:cantSplit/>
        </w:trPr>
        <w:tc>
          <w:tcPr>
            <w:tcW w:w="1716" w:type="dxa"/>
            <w:shd w:val="clear" w:color="auto" w:fill="D9D9D9"/>
          </w:tcPr>
          <w:p w:rsidR="00ED0E89" w:rsidRPr="00EA0FF7" w:rsidRDefault="00ED0E89" w:rsidP="003F6C69">
            <w:pPr>
              <w:pStyle w:val="chiffres2"/>
            </w:pPr>
            <w:r w:rsidRPr="00EA0FF7">
              <w:t>70-79</w:t>
            </w:r>
          </w:p>
        </w:tc>
        <w:tc>
          <w:tcPr>
            <w:tcW w:w="1800" w:type="dxa"/>
            <w:shd w:val="clear" w:color="auto" w:fill="FFFF00"/>
          </w:tcPr>
          <w:p w:rsidR="00ED0E89" w:rsidRPr="00EA0FF7" w:rsidRDefault="00ED0E89" w:rsidP="003D41BB">
            <w:pPr>
              <w:pStyle w:val="chiffres2"/>
              <w:jc w:val="center"/>
            </w:pPr>
            <w:r>
              <w:t>25</w:t>
            </w:r>
          </w:p>
        </w:tc>
        <w:tc>
          <w:tcPr>
            <w:tcW w:w="1800" w:type="dxa"/>
            <w:shd w:val="clear" w:color="auto" w:fill="D9D9D9"/>
          </w:tcPr>
          <w:p w:rsidR="00ED0E89" w:rsidRPr="00EA0FF7" w:rsidRDefault="00ED0E89" w:rsidP="003D41BB">
            <w:pPr>
              <w:pStyle w:val="chiffres2"/>
              <w:jc w:val="center"/>
            </w:pPr>
            <w:r>
              <w:t>12</w:t>
            </w:r>
          </w:p>
        </w:tc>
        <w:tc>
          <w:tcPr>
            <w:tcW w:w="1800" w:type="dxa"/>
            <w:shd w:val="clear" w:color="auto" w:fill="D9D9D9"/>
          </w:tcPr>
          <w:p w:rsidR="00ED0E89" w:rsidRPr="00EA0FF7" w:rsidRDefault="00ED0E89" w:rsidP="003D41BB">
            <w:pPr>
              <w:pStyle w:val="chiffres2"/>
              <w:jc w:val="center"/>
            </w:pPr>
            <w:r>
              <w:t>6</w:t>
            </w:r>
          </w:p>
        </w:tc>
      </w:tr>
      <w:tr w:rsidR="00ED0E89" w:rsidRPr="00EA0FF7" w:rsidTr="00E17D21">
        <w:trPr>
          <w:cantSplit/>
        </w:trPr>
        <w:tc>
          <w:tcPr>
            <w:tcW w:w="1716" w:type="dxa"/>
            <w:shd w:val="clear" w:color="auto" w:fill="D9D9D9"/>
          </w:tcPr>
          <w:p w:rsidR="00ED0E89" w:rsidRPr="00EA0FF7" w:rsidRDefault="00ED0E89" w:rsidP="003F6C69">
            <w:pPr>
              <w:pStyle w:val="chiffres2"/>
            </w:pPr>
            <w:r w:rsidRPr="00EA0FF7">
              <w:t>80+</w:t>
            </w:r>
          </w:p>
        </w:tc>
        <w:tc>
          <w:tcPr>
            <w:tcW w:w="1800" w:type="dxa"/>
            <w:shd w:val="clear" w:color="auto" w:fill="D9D9D9"/>
          </w:tcPr>
          <w:p w:rsidR="00ED0E89" w:rsidRPr="00EA0FF7" w:rsidRDefault="00ED0E89" w:rsidP="003D41BB">
            <w:pPr>
              <w:pStyle w:val="chiffres2"/>
              <w:jc w:val="center"/>
            </w:pPr>
            <w:r w:rsidRPr="00EA0FF7">
              <w:t>14</w:t>
            </w:r>
          </w:p>
        </w:tc>
        <w:tc>
          <w:tcPr>
            <w:tcW w:w="1800" w:type="dxa"/>
            <w:shd w:val="clear" w:color="auto" w:fill="D9D9D9"/>
          </w:tcPr>
          <w:p w:rsidR="00ED0E89" w:rsidRPr="00EA0FF7" w:rsidRDefault="00ED0E89" w:rsidP="003D41BB">
            <w:pPr>
              <w:pStyle w:val="chiffres2"/>
              <w:jc w:val="center"/>
            </w:pPr>
            <w:r>
              <w:t>11</w:t>
            </w:r>
          </w:p>
        </w:tc>
        <w:tc>
          <w:tcPr>
            <w:tcW w:w="1800" w:type="dxa"/>
            <w:shd w:val="clear" w:color="auto" w:fill="D9D9D9"/>
          </w:tcPr>
          <w:p w:rsidR="00ED0E89" w:rsidRPr="00EA0FF7" w:rsidRDefault="00ED0E89" w:rsidP="003D41BB">
            <w:pPr>
              <w:pStyle w:val="chiffres2"/>
              <w:jc w:val="center"/>
            </w:pPr>
            <w:r>
              <w:t>14</w:t>
            </w:r>
          </w:p>
        </w:tc>
      </w:tr>
    </w:tbl>
    <w:p w:rsidR="00ED0E89" w:rsidRDefault="00ED0E89" w:rsidP="00763264">
      <w:pPr>
        <w:pStyle w:val="p"/>
      </w:pPr>
    </w:p>
    <w:p w:rsidR="00BA70E3" w:rsidRDefault="00BA70E3">
      <w:pPr>
        <w:jc w:val="left"/>
        <w:rPr>
          <w:rFonts w:ascii="Arial Narrow" w:hAnsi="Arial Narrow"/>
          <w:sz w:val="22"/>
          <w:szCs w:val="22"/>
          <w:lang w:val="en-CA"/>
        </w:rPr>
      </w:pPr>
      <w:r>
        <w:br w:type="page"/>
      </w:r>
    </w:p>
    <w:p w:rsidR="00ED0E89" w:rsidRDefault="00D97B1A" w:rsidP="00ED0E89">
      <w:pPr>
        <w:pStyle w:val="Heading5"/>
        <w:rPr>
          <w:lang w:val="en-CA"/>
        </w:rPr>
      </w:pPr>
      <w:r>
        <w:rPr>
          <w:lang w:val="en-CA"/>
        </w:rPr>
        <w:lastRenderedPageBreak/>
        <w:t>Chart </w:t>
      </w:r>
      <w:r w:rsidR="00ED0E89">
        <w:rPr>
          <w:lang w:val="en-CA"/>
        </w:rPr>
        <w:t>7</w:t>
      </w:r>
    </w:p>
    <w:p w:rsidR="006E1C92" w:rsidRDefault="00ED0E89" w:rsidP="00ED0E89">
      <w:pPr>
        <w:pStyle w:val="Heading5"/>
        <w:rPr>
          <w:lang w:val="en-CA"/>
        </w:rPr>
      </w:pPr>
      <w:r w:rsidRPr="00022EA1">
        <w:rPr>
          <w:lang w:val="en-CA"/>
        </w:rPr>
        <w:t xml:space="preserve">How many hours per week on average do you ACTUALLY work when in CRUNCH time? </w:t>
      </w:r>
    </w:p>
    <w:p w:rsidR="00ED0E89" w:rsidRPr="006E1C92" w:rsidRDefault="006E1C92" w:rsidP="00ED0E89">
      <w:pPr>
        <w:pStyle w:val="Heading5"/>
        <w:rPr>
          <w:lang w:val="en-US"/>
        </w:rPr>
      </w:pPr>
      <w:r w:rsidRPr="00BA70E3">
        <w:rPr>
          <w:lang w:val="en-CA"/>
        </w:rPr>
        <w:t>(</w:t>
      </w:r>
      <w:r w:rsidR="00ED0E89" w:rsidRPr="00BA70E3">
        <w:rPr>
          <w:lang w:val="en-CA"/>
        </w:rPr>
        <w:t>2004</w:t>
      </w:r>
      <w:r w:rsidRPr="00BA70E3">
        <w:rPr>
          <w:lang w:val="en-CA"/>
        </w:rPr>
        <w:t>-</w:t>
      </w:r>
      <w:r w:rsidR="00ED0E89" w:rsidRPr="00BA70E3">
        <w:rPr>
          <w:lang w:val="en-CA"/>
        </w:rPr>
        <w:t xml:space="preserve"> 2009</w:t>
      </w:r>
      <w:r w:rsidRPr="00BA70E3">
        <w:rPr>
          <w:lang w:val="en-CA"/>
        </w:rPr>
        <w:t>-</w:t>
      </w:r>
      <w:r w:rsidR="00ED0E89" w:rsidRPr="00BA70E3">
        <w:rPr>
          <w:lang w:val="en-CA"/>
        </w:rPr>
        <w:t>2014</w:t>
      </w:r>
      <w:r w:rsidRPr="00BA70E3">
        <w:rPr>
          <w:lang w:val="en-CA"/>
        </w:rPr>
        <w:t>)</w:t>
      </w:r>
    </w:p>
    <w:p w:rsidR="00ED0E89" w:rsidRDefault="00335BFF" w:rsidP="00ED0E89">
      <w:pPr>
        <w:pStyle w:val="figure"/>
      </w:pPr>
      <w:r>
        <w:rPr>
          <w:noProof/>
          <w:lang w:val="en-CA" w:eastAsia="en-CA"/>
        </w:rPr>
        <w:drawing>
          <wp:inline distT="0" distB="0" distL="0" distR="0" wp14:anchorId="21B5A0F0" wp14:editId="4FEBE76F">
            <wp:extent cx="5325036" cy="2218765"/>
            <wp:effectExtent l="0" t="0" r="9525" b="10160"/>
            <wp:docPr id="7" name="Graphique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E1C92" w:rsidRDefault="006E1C92" w:rsidP="006E1C92">
      <w:pPr>
        <w:pStyle w:val="p"/>
        <w:spacing w:line="200" w:lineRule="atLeast"/>
        <w:ind w:left="994"/>
      </w:pPr>
    </w:p>
    <w:p w:rsidR="00ED0E89" w:rsidRPr="00BA4FD6" w:rsidRDefault="003D41BB" w:rsidP="00BA4FD6">
      <w:pPr>
        <w:pStyle w:val="p"/>
      </w:pPr>
      <w:r w:rsidRPr="00BA70E3">
        <w:t xml:space="preserve">Again to mirror the approach for regular schedule hours above, </w:t>
      </w:r>
      <w:r w:rsidR="00D97B1A">
        <w:t>Chart </w:t>
      </w:r>
      <w:r w:rsidRPr="00BA70E3">
        <w:t xml:space="preserve">8 </w:t>
      </w:r>
      <w:r w:rsidR="00ED0E89" w:rsidRPr="00BA70E3">
        <w:t xml:space="preserve">illustrates the </w:t>
      </w:r>
      <w:r w:rsidRPr="00BA70E3">
        <w:t>decreasing trend in crunch time for</w:t>
      </w:r>
      <w:r w:rsidR="00ED0E89" w:rsidRPr="00BA70E3">
        <w:t xml:space="preserve"> both expected hours and actual hours worked between 2009 and 2014. </w:t>
      </w:r>
      <w:r w:rsidRPr="00BA70E3">
        <w:t xml:space="preserve">This </w:t>
      </w:r>
      <w:r w:rsidR="00D97B1A">
        <w:t xml:space="preserve">chart </w:t>
      </w:r>
      <w:r w:rsidRPr="00BA70E3">
        <w:t>also allows a comparison between the two where we again see a slight tendency for developers to work more hours than they are officially or ostensibly expected to at the high ends of the spectrum.</w:t>
      </w:r>
    </w:p>
    <w:p w:rsidR="00ED0E89" w:rsidRPr="00430295" w:rsidRDefault="00D97B1A" w:rsidP="00ED0E89">
      <w:pPr>
        <w:pStyle w:val="Heading5"/>
        <w:rPr>
          <w:lang w:val="en-CA"/>
        </w:rPr>
      </w:pPr>
      <w:r>
        <w:rPr>
          <w:lang w:val="en-CA"/>
        </w:rPr>
        <w:t>Chart </w:t>
      </w:r>
      <w:r w:rsidR="00ED0E89">
        <w:rPr>
          <w:lang w:val="en-CA"/>
        </w:rPr>
        <w:t>8</w:t>
      </w:r>
    </w:p>
    <w:p w:rsidR="00ED0E89" w:rsidRPr="00D469E4" w:rsidRDefault="00ED0E89" w:rsidP="00ED0E89">
      <w:pPr>
        <w:pStyle w:val="Heading5"/>
        <w:rPr>
          <w:lang w:val="en-CA"/>
        </w:rPr>
      </w:pPr>
      <w:r w:rsidRPr="00E02113">
        <w:rPr>
          <w:lang w:val="en-CA"/>
        </w:rPr>
        <w:t xml:space="preserve">How </w:t>
      </w:r>
      <w:r w:rsidRPr="00EA0FF7">
        <w:rPr>
          <w:lang w:val="en-CA"/>
        </w:rPr>
        <w:t xml:space="preserve">many hours per week on average </w:t>
      </w:r>
      <w:r w:rsidRPr="00E02113">
        <w:rPr>
          <w:lang w:val="en-CA"/>
        </w:rPr>
        <w:t xml:space="preserve">are you EXPECTED to work / </w:t>
      </w:r>
      <w:r w:rsidRPr="00EA0FF7">
        <w:rPr>
          <w:lang w:val="en-CA"/>
        </w:rPr>
        <w:t xml:space="preserve">do you ACTUALLY work when in </w:t>
      </w:r>
      <w:r>
        <w:rPr>
          <w:lang w:val="en-CA"/>
        </w:rPr>
        <w:t>CRUNCH</w:t>
      </w:r>
      <w:r w:rsidRPr="00EA0FF7">
        <w:rPr>
          <w:lang w:val="en-CA"/>
        </w:rPr>
        <w:t xml:space="preserve"> </w:t>
      </w:r>
      <w:r w:rsidR="006E1C92">
        <w:rPr>
          <w:lang w:val="en-CA"/>
        </w:rPr>
        <w:t>time</w:t>
      </w:r>
      <w:r w:rsidRPr="00BA70E3">
        <w:rPr>
          <w:lang w:val="en-CA"/>
        </w:rPr>
        <w:t>? (2009 – 2014)</w:t>
      </w:r>
      <w:r>
        <w:rPr>
          <w:lang w:val="en-CA"/>
        </w:rPr>
        <w:t xml:space="preserve"> </w:t>
      </w:r>
    </w:p>
    <w:p w:rsidR="00ED0E89" w:rsidRDefault="00335BFF" w:rsidP="00ED0E89">
      <w:pPr>
        <w:pStyle w:val="figure"/>
      </w:pPr>
      <w:r>
        <w:rPr>
          <w:noProof/>
          <w:lang w:val="en-CA" w:eastAsia="en-CA"/>
        </w:rPr>
        <w:drawing>
          <wp:inline distT="0" distB="0" distL="0" distR="0" wp14:anchorId="281A7BC5" wp14:editId="1B0B045E">
            <wp:extent cx="5325036" cy="2864223"/>
            <wp:effectExtent l="0" t="0" r="9525" b="12700"/>
            <wp:docPr id="8" name="Graphique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D0E89" w:rsidRDefault="00ED0E89" w:rsidP="00763264">
      <w:pPr>
        <w:pStyle w:val="p"/>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5"/>
      </w:tblGrid>
      <w:tr w:rsidR="00ED0E89" w:rsidRPr="00C44C18" w:rsidTr="002C369E">
        <w:tc>
          <w:tcPr>
            <w:tcW w:w="7625" w:type="dxa"/>
            <w:shd w:val="clear" w:color="auto" w:fill="auto"/>
          </w:tcPr>
          <w:p w:rsidR="00ED0E89" w:rsidRPr="00E17D21" w:rsidRDefault="00ED0E89" w:rsidP="00E0702B">
            <w:pPr>
              <w:pStyle w:val="p"/>
              <w:ind w:left="0"/>
            </w:pPr>
            <w:r w:rsidRPr="00E17D21">
              <w:lastRenderedPageBreak/>
              <w:t xml:space="preserve">Among </w:t>
            </w:r>
            <w:r w:rsidR="003D41BB">
              <w:t xml:space="preserve">the </w:t>
            </w:r>
            <w:r w:rsidRPr="00E17D21">
              <w:t xml:space="preserve">Canadian developers we interviewed, the average crunch work week declared was 63.5 hours/week. This is more than 150% of the normal working week </w:t>
            </w:r>
            <w:r w:rsidR="003D41BB">
              <w:t xml:space="preserve">that was reported </w:t>
            </w:r>
            <w:r w:rsidRPr="00E17D21">
              <w:t>(40-44 hours) and a hig</w:t>
            </w:r>
            <w:r w:rsidR="00FA162D">
              <w:t xml:space="preserve">h number for an average value. </w:t>
            </w:r>
            <w:r w:rsidRPr="00E17D21">
              <w:t>Extreme values ranged from 48 hours as a minimum to 112 hours as a maximum.</w:t>
            </w:r>
          </w:p>
        </w:tc>
      </w:tr>
    </w:tbl>
    <w:p w:rsidR="00ED0E89" w:rsidRPr="00ED0E89" w:rsidRDefault="00ED0E89" w:rsidP="00763264">
      <w:pPr>
        <w:pStyle w:val="p"/>
      </w:pPr>
    </w:p>
    <w:p w:rsidR="00ED0E89" w:rsidRPr="00EA0FF7" w:rsidRDefault="00ED0E89" w:rsidP="00ED0E89">
      <w:pPr>
        <w:pStyle w:val="Heading2"/>
        <w:rPr>
          <w:lang w:val="en-CA"/>
        </w:rPr>
      </w:pPr>
      <w:bookmarkStart w:id="27" w:name="_Toc408662186"/>
      <w:bookmarkStart w:id="28" w:name="_Toc428799770"/>
      <w:r>
        <w:rPr>
          <w:lang w:val="en-CA"/>
        </w:rPr>
        <w:t>Y</w:t>
      </w:r>
      <w:r w:rsidRPr="00EA0FF7">
        <w:rPr>
          <w:lang w:val="en-CA"/>
        </w:rPr>
        <w:t>early weeks</w:t>
      </w:r>
      <w:r>
        <w:rPr>
          <w:lang w:val="en-CA"/>
        </w:rPr>
        <w:t xml:space="preserve"> of crunch time on a downward trend</w:t>
      </w:r>
      <w:bookmarkEnd w:id="27"/>
      <w:bookmarkEnd w:id="28"/>
    </w:p>
    <w:p w:rsidR="00ED0E89" w:rsidRPr="00ED0E89" w:rsidRDefault="00ED0E89" w:rsidP="00763264">
      <w:pPr>
        <w:pStyle w:val="p"/>
      </w:pPr>
      <w:r w:rsidRPr="00ED0E89">
        <w:t xml:space="preserve">To have a better picture of the practice of crunch, we </w:t>
      </w:r>
      <w:r w:rsidR="003D41BB">
        <w:t xml:space="preserve">also </w:t>
      </w:r>
      <w:r w:rsidRPr="00ED0E89">
        <w:t xml:space="preserve">have to account for the number of weeks in a year during which developers are asked to work in crunch. </w:t>
      </w:r>
      <w:r w:rsidR="003D41BB">
        <w:t xml:space="preserve">The question of actual weeks working in crunch was not addressed </w:t>
      </w:r>
      <w:r w:rsidR="00C44C18" w:rsidRPr="00ED7BA8">
        <w:rPr>
          <w:highlight w:val="yellow"/>
        </w:rPr>
        <w:t>that precisely</w:t>
      </w:r>
      <w:r w:rsidR="00C44C18" w:rsidRPr="00ED0E89">
        <w:t xml:space="preserve"> </w:t>
      </w:r>
      <w:r w:rsidR="003D41BB">
        <w:t>in 2004, so we compare 2009 and 2014</w:t>
      </w:r>
      <w:r w:rsidR="00695D01">
        <w:t xml:space="preserve"> (Table 10)</w:t>
      </w:r>
      <w:r w:rsidR="003D41BB">
        <w:t>.</w:t>
      </w:r>
      <w:r w:rsidR="00C44C18">
        <w:t xml:space="preserve"> </w:t>
      </w:r>
    </w:p>
    <w:p w:rsidR="00ED0E89" w:rsidRPr="00ED0E89" w:rsidRDefault="003D41BB" w:rsidP="00763264">
      <w:pPr>
        <w:pStyle w:val="p"/>
      </w:pPr>
      <w:r>
        <w:t>In line with the discussion above, we see</w:t>
      </w:r>
      <w:r w:rsidR="00ED0E89" w:rsidRPr="00ED0E89">
        <w:t xml:space="preserve"> first and foremost </w:t>
      </w:r>
      <w:r>
        <w:t xml:space="preserve">that there is </w:t>
      </w:r>
      <w:r w:rsidR="00ED0E89" w:rsidRPr="00ED0E89">
        <w:t>a clear increase in studios that work without crunch time</w:t>
      </w:r>
      <w:r>
        <w:t xml:space="preserve">. Where 9% did not work in crunch at all, or worked less than one week in 2009, in 2014 it is close to 25%. </w:t>
      </w:r>
    </w:p>
    <w:p w:rsidR="00695D01" w:rsidRPr="00695D01" w:rsidRDefault="003D41BB" w:rsidP="00763264">
      <w:pPr>
        <w:pStyle w:val="p"/>
      </w:pPr>
      <w:r>
        <w:t>As well, the d</w:t>
      </w:r>
      <w:r w:rsidR="00ED0E89" w:rsidRPr="00ED0E89">
        <w:t xml:space="preserve">ata </w:t>
      </w:r>
      <w:r w:rsidR="00695D01">
        <w:t xml:space="preserve">for 2014 </w:t>
      </w:r>
      <w:r w:rsidR="00ED0E89" w:rsidRPr="00ED0E89">
        <w:t xml:space="preserve">show that crunch time for fewer than 5 weeks in a year is more widespread, </w:t>
      </w:r>
      <w:r w:rsidR="00ED0E89" w:rsidRPr="00695D01">
        <w:t xml:space="preserve">while 5-9 weeks/year is less frequent, as are all the longer durations. </w:t>
      </w:r>
    </w:p>
    <w:p w:rsidR="00695D01" w:rsidRPr="00695D01" w:rsidRDefault="00695D01" w:rsidP="00695D01">
      <w:pPr>
        <w:pStyle w:val="p"/>
        <w:numPr>
          <w:ilvl w:val="0"/>
          <w:numId w:val="2"/>
        </w:numPr>
        <w:spacing w:after="0"/>
        <w:ind w:left="1714"/>
      </w:pPr>
      <w:r w:rsidRPr="00695D01">
        <w:t xml:space="preserve">In 2009, 70% of the respondents were working in crunch for fewer than 15 weeks a year. This figure increases to 79% if we include respondents who never crunch. </w:t>
      </w:r>
    </w:p>
    <w:p w:rsidR="00695D01" w:rsidRPr="00695D01" w:rsidRDefault="00695D01" w:rsidP="00695D01">
      <w:pPr>
        <w:pStyle w:val="p"/>
        <w:numPr>
          <w:ilvl w:val="0"/>
          <w:numId w:val="2"/>
        </w:numPr>
        <w:ind w:left="1714"/>
      </w:pPr>
      <w:r w:rsidRPr="00695D01">
        <w:t xml:space="preserve">In 2014, 65% of the respondents were working in crunch for fewer than 15 weeks a year. Again, this figure rises to 90% if we include respondents who never crunch. </w:t>
      </w:r>
    </w:p>
    <w:p w:rsidR="00695D01" w:rsidRPr="00ED0E89" w:rsidRDefault="00695D01" w:rsidP="00695D01">
      <w:pPr>
        <w:pStyle w:val="p"/>
      </w:pPr>
      <w:r w:rsidRPr="00695D01">
        <w:t>This suggests that there really is an improvement in yearly duration of crunch time and that worki</w:t>
      </w:r>
      <w:r w:rsidR="00F35D45">
        <w:t xml:space="preserve">ng without crunch is possible. </w:t>
      </w:r>
      <w:r w:rsidRPr="00695D01">
        <w:t xml:space="preserve">That said, cut another way, </w:t>
      </w:r>
      <w:r w:rsidRPr="00DA5796">
        <w:rPr>
          <w:highlight w:val="yellow"/>
        </w:rPr>
        <w:t xml:space="preserve">in 2009, </w:t>
      </w:r>
      <w:r w:rsidR="004317D7">
        <w:rPr>
          <w:highlight w:val="yellow"/>
        </w:rPr>
        <w:t>18.4</w:t>
      </w:r>
      <w:r w:rsidRPr="00DA5796">
        <w:rPr>
          <w:highlight w:val="yellow"/>
        </w:rPr>
        <w:t>% of respondents reported working 10</w:t>
      </w:r>
      <w:r w:rsidR="004317D7">
        <w:rPr>
          <w:highlight w:val="yellow"/>
        </w:rPr>
        <w:t xml:space="preserve"> to 15</w:t>
      </w:r>
      <w:r w:rsidRPr="00DA5796">
        <w:rPr>
          <w:highlight w:val="yellow"/>
        </w:rPr>
        <w:t xml:space="preserve"> weeks of crunch per year. This dropped to </w:t>
      </w:r>
      <w:r w:rsidR="004317D7">
        <w:rPr>
          <w:highlight w:val="yellow"/>
        </w:rPr>
        <w:t>11.3</w:t>
      </w:r>
      <w:r w:rsidRPr="00DA5796">
        <w:rPr>
          <w:highlight w:val="yellow"/>
        </w:rPr>
        <w:t>% in 2014</w:t>
      </w:r>
      <w:r w:rsidRPr="00695D01">
        <w:t>, but still represents a large group of developers. Despite the net progress, 10 weeks of crunch is 20% of the year, and can challenge health and other aspects of your life</w:t>
      </w:r>
      <w:r w:rsidRPr="00D719F4">
        <w:t xml:space="preserve"> </w:t>
      </w:r>
      <w:r w:rsidRPr="00ED0E89">
        <w:t xml:space="preserve">(Chait Barnett, 2004; </w:t>
      </w:r>
      <w:proofErr w:type="spellStart"/>
      <w:r w:rsidRPr="00ED0E89">
        <w:t>Chatzitheochari</w:t>
      </w:r>
      <w:proofErr w:type="spellEnd"/>
      <w:r w:rsidRPr="00ED0E89">
        <w:t xml:space="preserve"> &amp; Arber, 2009; CPRN, 2009; </w:t>
      </w:r>
      <w:proofErr w:type="spellStart"/>
      <w:r w:rsidRPr="00ED0E89">
        <w:t>Dembe</w:t>
      </w:r>
      <w:proofErr w:type="spellEnd"/>
      <w:r w:rsidRPr="00ED0E89">
        <w:t xml:space="preserve">, 2009; Gibb, Fergusson, David &amp; </w:t>
      </w:r>
      <w:proofErr w:type="spellStart"/>
      <w:r w:rsidRPr="00ED0E89">
        <w:t>Horwood</w:t>
      </w:r>
      <w:proofErr w:type="spellEnd"/>
      <w:r w:rsidRPr="00ED0E89">
        <w:t xml:space="preserve">, 2012; Green, 2001; Ishida, 2000; Jacobs &amp; </w:t>
      </w:r>
      <w:proofErr w:type="spellStart"/>
      <w:r w:rsidRPr="00ED0E89">
        <w:t>Gersen</w:t>
      </w:r>
      <w:proofErr w:type="spellEnd"/>
      <w:r w:rsidRPr="00ED0E89">
        <w:t xml:space="preserve">, 2001; Kanai, 2009; Kobayashi, Suzuki, Takao &amp; </w:t>
      </w:r>
      <w:proofErr w:type="spellStart"/>
      <w:r w:rsidRPr="00ED0E89">
        <w:t>Doi</w:t>
      </w:r>
      <w:proofErr w:type="spellEnd"/>
      <w:r w:rsidRPr="00ED0E89">
        <w:t xml:space="preserve">, 2012; O’Reilly &amp; </w:t>
      </w:r>
      <w:proofErr w:type="spellStart"/>
      <w:r w:rsidRPr="00ED0E89">
        <w:t>Rosato</w:t>
      </w:r>
      <w:proofErr w:type="spellEnd"/>
      <w:r w:rsidRPr="00ED0E89">
        <w:t xml:space="preserve">, 2013; Virtanen, </w:t>
      </w:r>
      <w:proofErr w:type="spellStart"/>
      <w:r w:rsidRPr="00ED0E89">
        <w:t>Heikkilä</w:t>
      </w:r>
      <w:proofErr w:type="spellEnd"/>
      <w:r w:rsidRPr="00ED0E89">
        <w:t xml:space="preserve">, </w:t>
      </w:r>
      <w:proofErr w:type="spellStart"/>
      <w:r w:rsidRPr="00ED0E89">
        <w:t>Jokela</w:t>
      </w:r>
      <w:proofErr w:type="spellEnd"/>
      <w:r w:rsidRPr="00ED0E89">
        <w:t xml:space="preserve">, </w:t>
      </w:r>
      <w:proofErr w:type="spellStart"/>
      <w:r w:rsidRPr="00ED0E89">
        <w:t>Ferrie</w:t>
      </w:r>
      <w:proofErr w:type="spellEnd"/>
      <w:r w:rsidRPr="00ED0E89">
        <w:t xml:space="preserve">, Batty, </w:t>
      </w:r>
      <w:proofErr w:type="spellStart"/>
      <w:r w:rsidRPr="00ED0E89">
        <w:t>Vahtera</w:t>
      </w:r>
      <w:proofErr w:type="spellEnd"/>
      <w:r w:rsidRPr="00ED0E89">
        <w:t xml:space="preserve">, </w:t>
      </w:r>
      <w:proofErr w:type="spellStart"/>
      <w:r w:rsidRPr="00ED0E89">
        <w:t>Kivimäki</w:t>
      </w:r>
      <w:proofErr w:type="spellEnd"/>
      <w:r w:rsidRPr="00ED0E89">
        <w:t xml:space="preserve">, 2012; Virtanen, </w:t>
      </w:r>
      <w:proofErr w:type="spellStart"/>
      <w:r w:rsidRPr="00ED0E89">
        <w:t>Ferrie</w:t>
      </w:r>
      <w:proofErr w:type="spellEnd"/>
      <w:r w:rsidRPr="00ED0E89">
        <w:t>, Singh-</w:t>
      </w:r>
      <w:proofErr w:type="spellStart"/>
      <w:r w:rsidRPr="00ED0E89">
        <w:t>Manoux</w:t>
      </w:r>
      <w:proofErr w:type="spellEnd"/>
      <w:r w:rsidRPr="00ED0E89">
        <w:t xml:space="preserve">, Shipley, </w:t>
      </w:r>
      <w:proofErr w:type="spellStart"/>
      <w:r w:rsidRPr="00ED0E89">
        <w:t>Stansfeld</w:t>
      </w:r>
      <w:proofErr w:type="spellEnd"/>
      <w:r w:rsidRPr="00ED0E89">
        <w:t xml:space="preserve">, Marmot, </w:t>
      </w:r>
      <w:proofErr w:type="spellStart"/>
      <w:r w:rsidRPr="00ED0E89">
        <w:t>Ahola</w:t>
      </w:r>
      <w:proofErr w:type="spellEnd"/>
      <w:r w:rsidRPr="00ED0E89">
        <w:t xml:space="preserve">, </w:t>
      </w:r>
      <w:proofErr w:type="spellStart"/>
      <w:r w:rsidRPr="00ED0E89">
        <w:t>Vahtera</w:t>
      </w:r>
      <w:proofErr w:type="spellEnd"/>
      <w:r w:rsidRPr="00ED0E89">
        <w:t xml:space="preserve">, </w:t>
      </w:r>
      <w:proofErr w:type="spellStart"/>
      <w:r w:rsidRPr="00ED0E89">
        <w:t>Kivimaki</w:t>
      </w:r>
      <w:proofErr w:type="spellEnd"/>
      <w:r w:rsidRPr="00ED0E89">
        <w:t xml:space="preserve">, 2011; </w:t>
      </w:r>
      <w:r w:rsidRPr="00ED0E89">
        <w:rPr>
          <w:lang w:eastAsia="fr-FR"/>
        </w:rPr>
        <w:t xml:space="preserve">Wooden &amp; </w:t>
      </w:r>
      <w:proofErr w:type="spellStart"/>
      <w:r w:rsidRPr="00ED0E89">
        <w:rPr>
          <w:lang w:eastAsia="fr-FR"/>
        </w:rPr>
        <w:t>Loundes</w:t>
      </w:r>
      <w:proofErr w:type="spellEnd"/>
      <w:r w:rsidRPr="00ED0E89">
        <w:rPr>
          <w:lang w:eastAsia="fr-FR"/>
        </w:rPr>
        <w:t>, 2001</w:t>
      </w:r>
      <w:r w:rsidRPr="00ED0E89">
        <w:t xml:space="preserve">). </w:t>
      </w:r>
    </w:p>
    <w:p w:rsidR="00695D01" w:rsidRDefault="00695D01" w:rsidP="00695D01">
      <w:pPr>
        <w:pStyle w:val="p"/>
      </w:pPr>
    </w:p>
    <w:p w:rsidR="00BA70E3" w:rsidRDefault="00BA70E3">
      <w:pPr>
        <w:jc w:val="left"/>
        <w:rPr>
          <w:rFonts w:ascii="Arial Narrow" w:hAnsi="Arial Narrow"/>
          <w:sz w:val="22"/>
          <w:szCs w:val="22"/>
          <w:lang w:val="en-CA"/>
        </w:rPr>
      </w:pPr>
      <w:r w:rsidRPr="00693D05">
        <w:rPr>
          <w:lang w:val="en-CA"/>
        </w:rPr>
        <w:br w:type="page"/>
      </w:r>
    </w:p>
    <w:p w:rsidR="00ED0E89" w:rsidRDefault="00ED0E89" w:rsidP="00ED0E89">
      <w:pPr>
        <w:pStyle w:val="Heading5"/>
        <w:rPr>
          <w:lang w:val="en-CA"/>
        </w:rPr>
      </w:pPr>
      <w:r>
        <w:rPr>
          <w:lang w:val="en-CA"/>
        </w:rPr>
        <w:lastRenderedPageBreak/>
        <w:t>Table 10</w:t>
      </w:r>
    </w:p>
    <w:p w:rsidR="00ED0E89" w:rsidRPr="00EA0FF7" w:rsidRDefault="00ED0E89" w:rsidP="00ED0E89">
      <w:pPr>
        <w:pStyle w:val="Heading5"/>
        <w:rPr>
          <w:lang w:val="en-CA"/>
        </w:rPr>
      </w:pPr>
      <w:r w:rsidRPr="00EA0FF7">
        <w:rPr>
          <w:lang w:val="en-CA"/>
        </w:rPr>
        <w:t>On average how many weeks per year do you crunch?</w:t>
      </w:r>
    </w:p>
    <w:tbl>
      <w:tblPr>
        <w:tblW w:w="5104" w:type="dxa"/>
        <w:jc w:val="center"/>
        <w:tblInd w:w="116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CellMar>
          <w:left w:w="0" w:type="dxa"/>
          <w:right w:w="0" w:type="dxa"/>
        </w:tblCellMar>
        <w:tblLook w:val="0000" w:firstRow="0" w:lastRow="0" w:firstColumn="0" w:lastColumn="0" w:noHBand="0" w:noVBand="0"/>
      </w:tblPr>
      <w:tblGrid>
        <w:gridCol w:w="1560"/>
        <w:gridCol w:w="1843"/>
        <w:gridCol w:w="1701"/>
      </w:tblGrid>
      <w:tr w:rsidR="00ED0E89" w:rsidRPr="00EA0FF7" w:rsidTr="00695D01">
        <w:trPr>
          <w:cantSplit/>
          <w:jc w:val="center"/>
        </w:trPr>
        <w:tc>
          <w:tcPr>
            <w:tcW w:w="1560" w:type="dxa"/>
            <w:shd w:val="clear" w:color="auto" w:fill="D9D9D9"/>
            <w:vAlign w:val="center"/>
          </w:tcPr>
          <w:p w:rsidR="00ED0E89" w:rsidRPr="00EA0FF7" w:rsidRDefault="00ED0E89" w:rsidP="003F6C69">
            <w:pPr>
              <w:pStyle w:val="chiffres"/>
              <w:rPr>
                <w:lang w:val="en-CA"/>
              </w:rPr>
            </w:pPr>
          </w:p>
        </w:tc>
        <w:tc>
          <w:tcPr>
            <w:tcW w:w="1843" w:type="dxa"/>
            <w:shd w:val="clear" w:color="auto" w:fill="D9D9D9"/>
          </w:tcPr>
          <w:p w:rsidR="00ED0E89" w:rsidRPr="00EA0FF7" w:rsidRDefault="00ED0E89" w:rsidP="003F6C69">
            <w:pPr>
              <w:pStyle w:val="chiffres"/>
              <w:rPr>
                <w:lang w:val="en-CA"/>
              </w:rPr>
            </w:pPr>
            <w:r w:rsidRPr="00EA0FF7">
              <w:rPr>
                <w:lang w:val="en-CA"/>
              </w:rPr>
              <w:t>2009</w:t>
            </w:r>
          </w:p>
        </w:tc>
        <w:tc>
          <w:tcPr>
            <w:tcW w:w="1701" w:type="dxa"/>
            <w:shd w:val="clear" w:color="auto" w:fill="D9D9D9"/>
          </w:tcPr>
          <w:p w:rsidR="00ED0E89" w:rsidRPr="00EA0FF7" w:rsidRDefault="00ED0E89" w:rsidP="003F6C69">
            <w:pPr>
              <w:pStyle w:val="chiffres"/>
              <w:rPr>
                <w:lang w:val="en-CA"/>
              </w:rPr>
            </w:pPr>
            <w:r w:rsidRPr="00EA0FF7">
              <w:rPr>
                <w:lang w:val="en-CA"/>
              </w:rPr>
              <w:t>2014</w:t>
            </w:r>
          </w:p>
        </w:tc>
      </w:tr>
      <w:tr w:rsidR="00ED0E89" w:rsidRPr="00EA0FF7" w:rsidTr="00695D01">
        <w:trPr>
          <w:cantSplit/>
          <w:jc w:val="center"/>
        </w:trPr>
        <w:tc>
          <w:tcPr>
            <w:tcW w:w="1560" w:type="dxa"/>
            <w:shd w:val="clear" w:color="auto" w:fill="D9D9D9"/>
            <w:vAlign w:val="center"/>
          </w:tcPr>
          <w:p w:rsidR="00ED0E89" w:rsidRPr="00EA0FF7" w:rsidRDefault="00ED0E89" w:rsidP="003F6C69">
            <w:pPr>
              <w:pStyle w:val="chiffres2"/>
            </w:pPr>
            <w:r w:rsidRPr="00EA0FF7">
              <w:t>0</w:t>
            </w:r>
          </w:p>
        </w:tc>
        <w:tc>
          <w:tcPr>
            <w:tcW w:w="1843" w:type="dxa"/>
            <w:shd w:val="clear" w:color="auto" w:fill="D9D9D9"/>
          </w:tcPr>
          <w:p w:rsidR="00ED0E89" w:rsidRPr="00EA0FF7" w:rsidRDefault="00ED0E89" w:rsidP="00695D01">
            <w:pPr>
              <w:pStyle w:val="chiffres2"/>
              <w:jc w:val="center"/>
            </w:pPr>
            <w:r w:rsidRPr="00EA0FF7">
              <w:t>9</w:t>
            </w:r>
          </w:p>
        </w:tc>
        <w:tc>
          <w:tcPr>
            <w:tcW w:w="1701" w:type="dxa"/>
            <w:shd w:val="clear" w:color="auto" w:fill="FFFF00"/>
          </w:tcPr>
          <w:p w:rsidR="00ED0E89" w:rsidRPr="00EA0FF7" w:rsidRDefault="00ED0E89" w:rsidP="00695D01">
            <w:pPr>
              <w:pStyle w:val="chiffres2"/>
              <w:jc w:val="center"/>
            </w:pPr>
            <w:r>
              <w:t>25</w:t>
            </w:r>
          </w:p>
        </w:tc>
      </w:tr>
      <w:tr w:rsidR="00ED0E89" w:rsidRPr="00EA0FF7" w:rsidTr="00695D01">
        <w:trPr>
          <w:cantSplit/>
          <w:jc w:val="center"/>
        </w:trPr>
        <w:tc>
          <w:tcPr>
            <w:tcW w:w="1560" w:type="dxa"/>
            <w:shd w:val="clear" w:color="auto" w:fill="D9D9D9"/>
            <w:vAlign w:val="center"/>
          </w:tcPr>
          <w:p w:rsidR="00ED0E89" w:rsidRPr="00EA0FF7" w:rsidRDefault="00ED0E89" w:rsidP="003F6C69">
            <w:pPr>
              <w:pStyle w:val="chiffres2"/>
            </w:pPr>
            <w:r>
              <w:t>0</w:t>
            </w:r>
            <w:r w:rsidRPr="00EA0FF7">
              <w:t>.5-4</w:t>
            </w:r>
          </w:p>
        </w:tc>
        <w:tc>
          <w:tcPr>
            <w:tcW w:w="1843" w:type="dxa"/>
            <w:shd w:val="clear" w:color="auto" w:fill="FFFF00"/>
          </w:tcPr>
          <w:p w:rsidR="00ED0E89" w:rsidRPr="00EA0FF7" w:rsidRDefault="00ED0E89" w:rsidP="00695D01">
            <w:pPr>
              <w:pStyle w:val="chiffres2"/>
              <w:jc w:val="center"/>
            </w:pPr>
            <w:r>
              <w:t>26</w:t>
            </w:r>
          </w:p>
        </w:tc>
        <w:tc>
          <w:tcPr>
            <w:tcW w:w="1701" w:type="dxa"/>
            <w:shd w:val="clear" w:color="auto" w:fill="FFFF00"/>
          </w:tcPr>
          <w:p w:rsidR="00ED0E89" w:rsidRPr="00EA0FF7" w:rsidRDefault="00ED0E89" w:rsidP="00695D01">
            <w:pPr>
              <w:pStyle w:val="chiffres2"/>
              <w:jc w:val="center"/>
            </w:pPr>
            <w:r w:rsidRPr="00EA0FF7">
              <w:t>35</w:t>
            </w:r>
          </w:p>
        </w:tc>
      </w:tr>
      <w:tr w:rsidR="00ED0E89" w:rsidRPr="00EA0FF7" w:rsidTr="00695D01">
        <w:trPr>
          <w:cantSplit/>
          <w:jc w:val="center"/>
        </w:trPr>
        <w:tc>
          <w:tcPr>
            <w:tcW w:w="1560" w:type="dxa"/>
            <w:shd w:val="clear" w:color="auto" w:fill="D9D9D9"/>
            <w:vAlign w:val="center"/>
          </w:tcPr>
          <w:p w:rsidR="00ED0E89" w:rsidRPr="00EA0FF7" w:rsidRDefault="00ED0E89" w:rsidP="003F6C69">
            <w:pPr>
              <w:pStyle w:val="chiffres2"/>
            </w:pPr>
            <w:r w:rsidRPr="00EA0FF7">
              <w:t>5-9</w:t>
            </w:r>
          </w:p>
        </w:tc>
        <w:tc>
          <w:tcPr>
            <w:tcW w:w="1843" w:type="dxa"/>
            <w:shd w:val="clear" w:color="auto" w:fill="FFFF00"/>
          </w:tcPr>
          <w:p w:rsidR="00ED0E89" w:rsidRPr="00EA0FF7" w:rsidRDefault="00ED0E89" w:rsidP="00695D01">
            <w:pPr>
              <w:pStyle w:val="chiffres2"/>
              <w:jc w:val="center"/>
            </w:pPr>
            <w:r>
              <w:t>26</w:t>
            </w:r>
          </w:p>
        </w:tc>
        <w:tc>
          <w:tcPr>
            <w:tcW w:w="1701" w:type="dxa"/>
            <w:shd w:val="clear" w:color="auto" w:fill="FFFF00"/>
          </w:tcPr>
          <w:p w:rsidR="00ED0E89" w:rsidRPr="00EA0FF7" w:rsidRDefault="00ED0E89" w:rsidP="00695D01">
            <w:pPr>
              <w:pStyle w:val="chiffres2"/>
              <w:jc w:val="center"/>
            </w:pPr>
            <w:r w:rsidRPr="00EA0FF7">
              <w:t>19</w:t>
            </w:r>
          </w:p>
        </w:tc>
      </w:tr>
      <w:tr w:rsidR="00ED0E89" w:rsidRPr="00EA0FF7" w:rsidTr="00695D01">
        <w:trPr>
          <w:cantSplit/>
          <w:jc w:val="center"/>
        </w:trPr>
        <w:tc>
          <w:tcPr>
            <w:tcW w:w="1560" w:type="dxa"/>
            <w:shd w:val="clear" w:color="auto" w:fill="D9D9D9"/>
            <w:vAlign w:val="center"/>
          </w:tcPr>
          <w:p w:rsidR="00ED0E89" w:rsidRPr="00EA0FF7" w:rsidRDefault="00ED0E89" w:rsidP="003F6C69">
            <w:pPr>
              <w:pStyle w:val="chiffres2"/>
            </w:pPr>
            <w:r w:rsidRPr="00EA0FF7">
              <w:t>10-14</w:t>
            </w:r>
          </w:p>
        </w:tc>
        <w:tc>
          <w:tcPr>
            <w:tcW w:w="1843" w:type="dxa"/>
            <w:shd w:val="clear" w:color="auto" w:fill="FFFF00"/>
          </w:tcPr>
          <w:p w:rsidR="00ED0E89" w:rsidRPr="00EA0FF7" w:rsidRDefault="00ED0E89" w:rsidP="00695D01">
            <w:pPr>
              <w:pStyle w:val="chiffres2"/>
              <w:jc w:val="center"/>
            </w:pPr>
            <w:r>
              <w:t>18</w:t>
            </w:r>
          </w:p>
        </w:tc>
        <w:tc>
          <w:tcPr>
            <w:tcW w:w="1701" w:type="dxa"/>
            <w:shd w:val="clear" w:color="auto" w:fill="D9D9D9"/>
          </w:tcPr>
          <w:p w:rsidR="00ED0E89" w:rsidRPr="00EA0FF7" w:rsidRDefault="00ED0E89" w:rsidP="00695D01">
            <w:pPr>
              <w:pStyle w:val="chiffres2"/>
              <w:jc w:val="center"/>
            </w:pPr>
            <w:r>
              <w:t>11</w:t>
            </w:r>
          </w:p>
        </w:tc>
      </w:tr>
      <w:tr w:rsidR="00ED0E89" w:rsidRPr="00EA0FF7" w:rsidTr="00695D01">
        <w:trPr>
          <w:cantSplit/>
          <w:jc w:val="center"/>
        </w:trPr>
        <w:tc>
          <w:tcPr>
            <w:tcW w:w="1560" w:type="dxa"/>
            <w:shd w:val="clear" w:color="auto" w:fill="D9D9D9"/>
            <w:vAlign w:val="center"/>
          </w:tcPr>
          <w:p w:rsidR="00ED0E89" w:rsidRPr="00EA0FF7" w:rsidRDefault="00ED0E89" w:rsidP="003F6C69">
            <w:pPr>
              <w:pStyle w:val="chiffres2"/>
            </w:pPr>
            <w:r w:rsidRPr="00EA0FF7">
              <w:t>15-19</w:t>
            </w:r>
          </w:p>
        </w:tc>
        <w:tc>
          <w:tcPr>
            <w:tcW w:w="1843" w:type="dxa"/>
            <w:shd w:val="clear" w:color="auto" w:fill="D9D9D9"/>
          </w:tcPr>
          <w:p w:rsidR="00ED0E89" w:rsidRPr="00EA0FF7" w:rsidRDefault="00ED0E89" w:rsidP="00695D01">
            <w:pPr>
              <w:pStyle w:val="chiffres2"/>
              <w:jc w:val="center"/>
            </w:pPr>
            <w:r w:rsidRPr="00EA0FF7">
              <w:t>6</w:t>
            </w:r>
          </w:p>
        </w:tc>
        <w:tc>
          <w:tcPr>
            <w:tcW w:w="1701" w:type="dxa"/>
            <w:shd w:val="clear" w:color="auto" w:fill="D9D9D9"/>
          </w:tcPr>
          <w:p w:rsidR="00ED0E89" w:rsidRPr="00EA0FF7" w:rsidRDefault="00ED0E89" w:rsidP="00695D01">
            <w:pPr>
              <w:pStyle w:val="chiffres2"/>
              <w:jc w:val="center"/>
            </w:pPr>
            <w:r>
              <w:t>4</w:t>
            </w:r>
          </w:p>
        </w:tc>
      </w:tr>
      <w:tr w:rsidR="00ED0E89" w:rsidRPr="00EA0FF7" w:rsidTr="00695D01">
        <w:trPr>
          <w:cantSplit/>
          <w:jc w:val="center"/>
        </w:trPr>
        <w:tc>
          <w:tcPr>
            <w:tcW w:w="1560" w:type="dxa"/>
            <w:shd w:val="clear" w:color="auto" w:fill="D9D9D9"/>
            <w:vAlign w:val="center"/>
          </w:tcPr>
          <w:p w:rsidR="00ED0E89" w:rsidRPr="00EA0FF7" w:rsidRDefault="00ED0E89" w:rsidP="003F6C69">
            <w:pPr>
              <w:pStyle w:val="chiffres2"/>
            </w:pPr>
            <w:r w:rsidRPr="00EA0FF7">
              <w:t>20-24</w:t>
            </w:r>
          </w:p>
        </w:tc>
        <w:tc>
          <w:tcPr>
            <w:tcW w:w="1843" w:type="dxa"/>
            <w:shd w:val="clear" w:color="auto" w:fill="D9D9D9"/>
          </w:tcPr>
          <w:p w:rsidR="00ED0E89" w:rsidRPr="00EA0FF7" w:rsidRDefault="00ED0E89" w:rsidP="00695D01">
            <w:pPr>
              <w:pStyle w:val="chiffres2"/>
              <w:jc w:val="center"/>
            </w:pPr>
            <w:r>
              <w:t>6</w:t>
            </w:r>
          </w:p>
        </w:tc>
        <w:tc>
          <w:tcPr>
            <w:tcW w:w="1701" w:type="dxa"/>
            <w:shd w:val="clear" w:color="auto" w:fill="D9D9D9"/>
          </w:tcPr>
          <w:p w:rsidR="00ED0E89" w:rsidRPr="00EA0FF7" w:rsidRDefault="00ED0E89" w:rsidP="00695D01">
            <w:pPr>
              <w:pStyle w:val="chiffres2"/>
              <w:jc w:val="center"/>
            </w:pPr>
            <w:r>
              <w:t>3</w:t>
            </w:r>
          </w:p>
        </w:tc>
      </w:tr>
      <w:tr w:rsidR="00ED0E89" w:rsidRPr="00EA0FF7" w:rsidTr="00695D01">
        <w:trPr>
          <w:cantSplit/>
          <w:jc w:val="center"/>
        </w:trPr>
        <w:tc>
          <w:tcPr>
            <w:tcW w:w="1560" w:type="dxa"/>
            <w:shd w:val="clear" w:color="auto" w:fill="D9D9D9"/>
            <w:vAlign w:val="center"/>
          </w:tcPr>
          <w:p w:rsidR="00ED0E89" w:rsidRPr="00EA0FF7" w:rsidRDefault="00ED0E89" w:rsidP="003F6C69">
            <w:pPr>
              <w:pStyle w:val="chiffres2"/>
            </w:pPr>
            <w:r w:rsidRPr="00EA0FF7">
              <w:t>25-29</w:t>
            </w:r>
          </w:p>
        </w:tc>
        <w:tc>
          <w:tcPr>
            <w:tcW w:w="1843" w:type="dxa"/>
            <w:shd w:val="clear" w:color="auto" w:fill="D9D9D9"/>
          </w:tcPr>
          <w:p w:rsidR="00ED0E89" w:rsidRPr="00EA0FF7" w:rsidRDefault="00ED0E89" w:rsidP="00695D01">
            <w:pPr>
              <w:pStyle w:val="chiffres2"/>
              <w:jc w:val="center"/>
            </w:pPr>
            <w:r>
              <w:t>4</w:t>
            </w:r>
          </w:p>
        </w:tc>
        <w:tc>
          <w:tcPr>
            <w:tcW w:w="1701" w:type="dxa"/>
            <w:shd w:val="clear" w:color="auto" w:fill="D9D9D9"/>
          </w:tcPr>
          <w:p w:rsidR="00ED0E89" w:rsidRPr="00EA0FF7" w:rsidRDefault="00ED0E89" w:rsidP="00695D01">
            <w:pPr>
              <w:pStyle w:val="chiffres2"/>
              <w:jc w:val="center"/>
            </w:pPr>
            <w:r>
              <w:t>1</w:t>
            </w:r>
          </w:p>
        </w:tc>
      </w:tr>
      <w:tr w:rsidR="00ED0E89" w:rsidRPr="00EA0FF7" w:rsidTr="00695D01">
        <w:trPr>
          <w:cantSplit/>
          <w:jc w:val="center"/>
        </w:trPr>
        <w:tc>
          <w:tcPr>
            <w:tcW w:w="1560" w:type="dxa"/>
            <w:shd w:val="clear" w:color="auto" w:fill="D9D9D9"/>
            <w:vAlign w:val="center"/>
          </w:tcPr>
          <w:p w:rsidR="00ED0E89" w:rsidRPr="00EA0FF7" w:rsidRDefault="00ED0E89" w:rsidP="003F6C69">
            <w:pPr>
              <w:pStyle w:val="chiffres2"/>
            </w:pPr>
            <w:r w:rsidRPr="00EA0FF7">
              <w:t>30-34</w:t>
            </w:r>
          </w:p>
        </w:tc>
        <w:tc>
          <w:tcPr>
            <w:tcW w:w="1843" w:type="dxa"/>
            <w:shd w:val="clear" w:color="auto" w:fill="D9D9D9"/>
          </w:tcPr>
          <w:p w:rsidR="00ED0E89" w:rsidRPr="00EA0FF7" w:rsidRDefault="00ED0E89" w:rsidP="00695D01">
            <w:pPr>
              <w:pStyle w:val="chiffres2"/>
              <w:jc w:val="center"/>
            </w:pPr>
            <w:r>
              <w:t>2</w:t>
            </w:r>
          </w:p>
        </w:tc>
        <w:tc>
          <w:tcPr>
            <w:tcW w:w="1701" w:type="dxa"/>
            <w:shd w:val="clear" w:color="auto" w:fill="D9D9D9"/>
          </w:tcPr>
          <w:p w:rsidR="00ED0E89" w:rsidRPr="00EA0FF7" w:rsidRDefault="00ED0E89" w:rsidP="00695D01">
            <w:pPr>
              <w:pStyle w:val="chiffres2"/>
              <w:jc w:val="center"/>
            </w:pPr>
            <w:r>
              <w:t>1</w:t>
            </w:r>
          </w:p>
        </w:tc>
      </w:tr>
      <w:tr w:rsidR="00ED0E89" w:rsidRPr="00EA0FF7" w:rsidTr="00695D01">
        <w:trPr>
          <w:cantSplit/>
          <w:jc w:val="center"/>
        </w:trPr>
        <w:tc>
          <w:tcPr>
            <w:tcW w:w="1560" w:type="dxa"/>
            <w:shd w:val="clear" w:color="auto" w:fill="D9D9D9"/>
            <w:vAlign w:val="center"/>
          </w:tcPr>
          <w:p w:rsidR="00ED0E89" w:rsidRPr="00EA0FF7" w:rsidRDefault="00ED0E89" w:rsidP="003F6C69">
            <w:pPr>
              <w:pStyle w:val="chiffres2"/>
            </w:pPr>
            <w:r w:rsidRPr="00EA0FF7">
              <w:t>35-39</w:t>
            </w:r>
          </w:p>
        </w:tc>
        <w:tc>
          <w:tcPr>
            <w:tcW w:w="1843" w:type="dxa"/>
            <w:shd w:val="clear" w:color="auto" w:fill="D9D9D9"/>
          </w:tcPr>
          <w:p w:rsidR="00ED0E89" w:rsidRPr="00EA0FF7" w:rsidRDefault="00ED0E89" w:rsidP="00695D01">
            <w:pPr>
              <w:pStyle w:val="chiffres2"/>
              <w:jc w:val="center"/>
            </w:pPr>
            <w:r>
              <w:t>1</w:t>
            </w:r>
          </w:p>
        </w:tc>
        <w:tc>
          <w:tcPr>
            <w:tcW w:w="1701" w:type="dxa"/>
            <w:shd w:val="clear" w:color="auto" w:fill="D9D9D9"/>
          </w:tcPr>
          <w:p w:rsidR="00ED0E89" w:rsidRPr="00EA0FF7" w:rsidRDefault="00ED0E89" w:rsidP="00695D01">
            <w:pPr>
              <w:pStyle w:val="chiffres2"/>
              <w:jc w:val="center"/>
            </w:pPr>
            <w:r>
              <w:t>1</w:t>
            </w:r>
          </w:p>
        </w:tc>
      </w:tr>
      <w:tr w:rsidR="00ED0E89" w:rsidRPr="00EA0FF7" w:rsidTr="00695D01">
        <w:trPr>
          <w:cantSplit/>
          <w:jc w:val="center"/>
        </w:trPr>
        <w:tc>
          <w:tcPr>
            <w:tcW w:w="1560" w:type="dxa"/>
            <w:shd w:val="clear" w:color="auto" w:fill="D9D9D9"/>
            <w:vAlign w:val="center"/>
          </w:tcPr>
          <w:p w:rsidR="00ED0E89" w:rsidRPr="00EA0FF7" w:rsidRDefault="00ED0E89" w:rsidP="003F6C69">
            <w:pPr>
              <w:pStyle w:val="chiffres2"/>
            </w:pPr>
            <w:r w:rsidRPr="00EA0FF7">
              <w:t>40-44</w:t>
            </w:r>
          </w:p>
        </w:tc>
        <w:tc>
          <w:tcPr>
            <w:tcW w:w="1843" w:type="dxa"/>
            <w:shd w:val="clear" w:color="auto" w:fill="D9D9D9"/>
          </w:tcPr>
          <w:p w:rsidR="00ED0E89" w:rsidRPr="00EA0FF7" w:rsidRDefault="00ED0E89" w:rsidP="00695D01">
            <w:pPr>
              <w:pStyle w:val="chiffres2"/>
              <w:jc w:val="center"/>
            </w:pPr>
            <w:r>
              <w:t>1</w:t>
            </w:r>
          </w:p>
        </w:tc>
        <w:tc>
          <w:tcPr>
            <w:tcW w:w="1701" w:type="dxa"/>
            <w:shd w:val="clear" w:color="auto" w:fill="D9D9D9"/>
          </w:tcPr>
          <w:p w:rsidR="00ED0E89" w:rsidRPr="00EA0FF7" w:rsidRDefault="00ED0E89" w:rsidP="00695D01">
            <w:pPr>
              <w:pStyle w:val="chiffres2"/>
              <w:jc w:val="center"/>
            </w:pPr>
            <w:r>
              <w:t>0</w:t>
            </w:r>
          </w:p>
        </w:tc>
      </w:tr>
      <w:tr w:rsidR="00ED0E89" w:rsidRPr="00EA0FF7" w:rsidTr="00695D01">
        <w:trPr>
          <w:cantSplit/>
          <w:jc w:val="center"/>
        </w:trPr>
        <w:tc>
          <w:tcPr>
            <w:tcW w:w="1560" w:type="dxa"/>
            <w:shd w:val="clear" w:color="auto" w:fill="D9D9D9"/>
            <w:vAlign w:val="center"/>
          </w:tcPr>
          <w:p w:rsidR="00ED0E89" w:rsidRPr="00EA0FF7" w:rsidRDefault="00ED0E89" w:rsidP="003F6C69">
            <w:pPr>
              <w:pStyle w:val="chiffres2"/>
            </w:pPr>
            <w:r w:rsidRPr="00EA0FF7">
              <w:t>45-49</w:t>
            </w:r>
          </w:p>
        </w:tc>
        <w:tc>
          <w:tcPr>
            <w:tcW w:w="1843" w:type="dxa"/>
            <w:shd w:val="clear" w:color="auto" w:fill="D9D9D9"/>
          </w:tcPr>
          <w:p w:rsidR="00ED0E89" w:rsidRPr="00EA0FF7" w:rsidRDefault="00ED0E89" w:rsidP="00695D01">
            <w:pPr>
              <w:pStyle w:val="chiffres2"/>
              <w:jc w:val="center"/>
            </w:pPr>
            <w:r>
              <w:t>1</w:t>
            </w:r>
          </w:p>
        </w:tc>
        <w:tc>
          <w:tcPr>
            <w:tcW w:w="1701" w:type="dxa"/>
            <w:shd w:val="clear" w:color="auto" w:fill="D9D9D9"/>
          </w:tcPr>
          <w:p w:rsidR="00ED0E89" w:rsidRPr="00EA0FF7" w:rsidRDefault="00ED0E89" w:rsidP="00695D01">
            <w:pPr>
              <w:pStyle w:val="chiffres2"/>
              <w:jc w:val="center"/>
            </w:pPr>
            <w:r>
              <w:t>0</w:t>
            </w:r>
          </w:p>
        </w:tc>
      </w:tr>
      <w:tr w:rsidR="00ED0E89" w:rsidRPr="00EA0FF7" w:rsidTr="00695D01">
        <w:trPr>
          <w:cantSplit/>
          <w:jc w:val="center"/>
        </w:trPr>
        <w:tc>
          <w:tcPr>
            <w:tcW w:w="1560" w:type="dxa"/>
            <w:shd w:val="clear" w:color="auto" w:fill="D9D9D9"/>
            <w:vAlign w:val="center"/>
          </w:tcPr>
          <w:p w:rsidR="00ED0E89" w:rsidRPr="00EA0FF7" w:rsidRDefault="00ED0E89" w:rsidP="003F6C69">
            <w:pPr>
              <w:pStyle w:val="chiffres2"/>
            </w:pPr>
            <w:r w:rsidRPr="00EA0FF7">
              <w:t>50-52</w:t>
            </w:r>
          </w:p>
        </w:tc>
        <w:tc>
          <w:tcPr>
            <w:tcW w:w="1843" w:type="dxa"/>
            <w:shd w:val="clear" w:color="auto" w:fill="D9D9D9"/>
          </w:tcPr>
          <w:p w:rsidR="00ED0E89" w:rsidRPr="00EA0FF7" w:rsidRDefault="00ED0E89" w:rsidP="00695D01">
            <w:pPr>
              <w:pStyle w:val="chiffres2"/>
              <w:jc w:val="center"/>
            </w:pPr>
            <w:r>
              <w:t>1</w:t>
            </w:r>
          </w:p>
        </w:tc>
        <w:tc>
          <w:tcPr>
            <w:tcW w:w="1701" w:type="dxa"/>
            <w:shd w:val="clear" w:color="auto" w:fill="D9D9D9"/>
          </w:tcPr>
          <w:p w:rsidR="00ED0E89" w:rsidRPr="00EA0FF7" w:rsidRDefault="00ED0E89" w:rsidP="00695D01">
            <w:pPr>
              <w:pStyle w:val="chiffres2"/>
              <w:jc w:val="center"/>
            </w:pPr>
            <w:r>
              <w:t>0</w:t>
            </w:r>
          </w:p>
        </w:tc>
      </w:tr>
    </w:tbl>
    <w:p w:rsidR="00ED0E89" w:rsidRDefault="00ED0E89" w:rsidP="00763264">
      <w:pPr>
        <w:pStyle w:val="p"/>
      </w:pPr>
    </w:p>
    <w:p w:rsidR="00784A95" w:rsidRDefault="00D97B1A" w:rsidP="00695D01">
      <w:pPr>
        <w:pStyle w:val="p"/>
        <w:rPr>
          <w:rFonts w:ascii="Calibri" w:hAnsi="Calibri"/>
          <w:b/>
          <w:sz w:val="20"/>
        </w:rPr>
      </w:pPr>
      <w:r>
        <w:t>Chart </w:t>
      </w:r>
      <w:r w:rsidR="006E1C92">
        <w:t>9</w:t>
      </w:r>
      <w:r w:rsidR="00ED0E89" w:rsidRPr="00ED0E89">
        <w:t xml:space="preserve"> </w:t>
      </w:r>
      <w:r w:rsidR="00695D01">
        <w:t xml:space="preserve">presents a graphical illustration of the </w:t>
      </w:r>
      <w:r w:rsidR="00ED0E89" w:rsidRPr="00ED0E89">
        <w:t xml:space="preserve">reduction in yearly weeks of crunch. </w:t>
      </w:r>
    </w:p>
    <w:p w:rsidR="00ED0E89" w:rsidRDefault="00D97B1A" w:rsidP="00ED0E89">
      <w:pPr>
        <w:pStyle w:val="Heading5"/>
        <w:rPr>
          <w:lang w:val="en-CA"/>
        </w:rPr>
      </w:pPr>
      <w:r>
        <w:rPr>
          <w:lang w:val="en-CA"/>
        </w:rPr>
        <w:t>Chart </w:t>
      </w:r>
      <w:r w:rsidR="00ED0E89">
        <w:rPr>
          <w:lang w:val="en-CA"/>
        </w:rPr>
        <w:t>9</w:t>
      </w:r>
    </w:p>
    <w:p w:rsidR="00ED0E89" w:rsidRPr="00B80460" w:rsidRDefault="00ED0E89" w:rsidP="00ED0E89">
      <w:pPr>
        <w:pStyle w:val="Heading5"/>
        <w:rPr>
          <w:lang w:val="en-CA"/>
        </w:rPr>
      </w:pPr>
      <w:r w:rsidRPr="00EA0FF7">
        <w:rPr>
          <w:lang w:val="en-CA"/>
        </w:rPr>
        <w:t xml:space="preserve">On average how many weeks per year do you </w:t>
      </w:r>
      <w:r w:rsidRPr="00F35D45">
        <w:rPr>
          <w:lang w:val="en-CA"/>
        </w:rPr>
        <w:t>crunch?</w:t>
      </w:r>
      <w:r w:rsidR="00C10941" w:rsidRPr="00F35D45">
        <w:rPr>
          <w:lang w:val="en-CA"/>
        </w:rPr>
        <w:t xml:space="preserve"> (2009 - 2014)</w:t>
      </w:r>
    </w:p>
    <w:p w:rsidR="00ED0E89" w:rsidRDefault="00335BFF" w:rsidP="00ED0E89">
      <w:pPr>
        <w:pStyle w:val="figure"/>
      </w:pPr>
      <w:r>
        <w:rPr>
          <w:noProof/>
          <w:lang w:val="en-CA" w:eastAsia="en-CA"/>
        </w:rPr>
        <w:drawing>
          <wp:inline distT="0" distB="0" distL="0" distR="0" wp14:anchorId="10B34EC9" wp14:editId="49E2372E">
            <wp:extent cx="5338483" cy="2393577"/>
            <wp:effectExtent l="0" t="0" r="14605" b="26035"/>
            <wp:docPr id="9" name="Graphique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0E89" w:rsidRDefault="00ED0E89" w:rsidP="00763264">
      <w:pPr>
        <w:pStyle w:val="p"/>
      </w:pPr>
    </w:p>
    <w:p w:rsidR="00ED0E89" w:rsidRPr="00ED0E89" w:rsidRDefault="00695D01" w:rsidP="00763264">
      <w:pPr>
        <w:pStyle w:val="p"/>
      </w:pPr>
      <w:r>
        <w:lastRenderedPageBreak/>
        <w:t>This</w:t>
      </w:r>
      <w:r w:rsidR="00ED0E89" w:rsidRPr="001F2B83">
        <w:t xml:space="preserve"> question</w:t>
      </w:r>
      <w:r>
        <w:t xml:space="preserve"> of how often the company has crunch times</w:t>
      </w:r>
      <w:r w:rsidR="00ED0E89" w:rsidRPr="001F2B83">
        <w:t xml:space="preserve"> </w:t>
      </w:r>
      <w:r w:rsidR="002C369E" w:rsidRPr="001F2B83">
        <w:t>was</w:t>
      </w:r>
      <w:r w:rsidR="00ED0E89" w:rsidRPr="001F2B83">
        <w:t xml:space="preserve"> asked in a very different way in 2004</w:t>
      </w:r>
      <w:r w:rsidR="00B117A4">
        <w:t xml:space="preserve">. </w:t>
      </w:r>
      <w:r>
        <w:t>Yet the 2004</w:t>
      </w:r>
      <w:r w:rsidR="00087ACB" w:rsidRPr="001F2B83">
        <w:t xml:space="preserve"> data still serve to highlight the working conditions of videogame developers in crunch, particularly as organized around project management scheduling principles that are very common in the industry.</w:t>
      </w:r>
      <w:r w:rsidR="001F2B83">
        <w:t xml:space="preserve"> </w:t>
      </w:r>
      <w:r w:rsidR="00ED0E89" w:rsidRPr="001F2B83">
        <w:t>As</w:t>
      </w:r>
      <w:r w:rsidR="00ED0E89" w:rsidRPr="00ED0E89">
        <w:t xml:space="preserve"> shown in </w:t>
      </w:r>
      <w:r>
        <w:t>Table 11, 62% of respondents in 2004 we</w:t>
      </w:r>
      <w:r w:rsidR="00ED0E89" w:rsidRPr="00ED0E89">
        <w:t>re compelled to answer a call to crunch before every milestone. This helps to illustrate the common criticism about poor project management in the game making business.</w:t>
      </w:r>
    </w:p>
    <w:p w:rsidR="00ED0E89" w:rsidRDefault="00ED0E89" w:rsidP="00763264">
      <w:pPr>
        <w:pStyle w:val="p"/>
      </w:pPr>
      <w:r w:rsidRPr="00ED0E89">
        <w:t>Unfor</w:t>
      </w:r>
      <w:r w:rsidR="00087ACB">
        <w:t>tunately, the “monthly or more”</w:t>
      </w:r>
      <w:r w:rsidRPr="00ED0E89">
        <w:t xml:space="preserve"> category is not commensurable with the </w:t>
      </w:r>
      <w:r w:rsidR="00087ACB">
        <w:t>other categories</w:t>
      </w:r>
      <w:r w:rsidRPr="00ED0E89">
        <w:t>, and prevent</w:t>
      </w:r>
      <w:r w:rsidR="00695D01">
        <w:t>s</w:t>
      </w:r>
      <w:r w:rsidRPr="00ED0E89">
        <w:t xml:space="preserve"> us </w:t>
      </w:r>
      <w:r w:rsidR="00695D01">
        <w:t xml:space="preserve">from knowing </w:t>
      </w:r>
      <w:r w:rsidR="00087ACB">
        <w:t xml:space="preserve">more about how often </w:t>
      </w:r>
      <w:r w:rsidRPr="00ED0E89">
        <w:t xml:space="preserve">milestones </w:t>
      </w:r>
      <w:r w:rsidR="00087ACB">
        <w:t xml:space="preserve">are </w:t>
      </w:r>
      <w:r w:rsidRPr="00ED0E89">
        <w:t xml:space="preserve">coming. </w:t>
      </w:r>
    </w:p>
    <w:p w:rsidR="00695D01" w:rsidRDefault="00695D01" w:rsidP="00695D01">
      <w:pPr>
        <w:pStyle w:val="Heading5"/>
        <w:rPr>
          <w:lang w:val="en-CA"/>
        </w:rPr>
      </w:pPr>
      <w:r>
        <w:rPr>
          <w:lang w:val="en-CA"/>
        </w:rPr>
        <w:t>Table 11</w:t>
      </w:r>
    </w:p>
    <w:p w:rsidR="00695D01" w:rsidRPr="00EA0FF7" w:rsidRDefault="00695D01" w:rsidP="00695D01">
      <w:pPr>
        <w:pStyle w:val="Heading5"/>
        <w:rPr>
          <w:lang w:val="en-CA"/>
        </w:rPr>
      </w:pPr>
      <w:r w:rsidRPr="00EA0FF7">
        <w:rPr>
          <w:lang w:val="en-CA"/>
        </w:rPr>
        <w:t>How often does your company have "crunch times" during which most members of a team work longer hours than usual?</w:t>
      </w:r>
      <w:r>
        <w:rPr>
          <w:lang w:val="en-CA"/>
        </w:rPr>
        <w:t xml:space="preserve"> (2004)</w:t>
      </w:r>
    </w:p>
    <w:tbl>
      <w:tblPr>
        <w:tblW w:w="5047" w:type="dxa"/>
        <w:jc w:val="center"/>
        <w:tblInd w:w="134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CellMar>
          <w:left w:w="70" w:type="dxa"/>
          <w:right w:w="70" w:type="dxa"/>
        </w:tblCellMar>
        <w:tblLook w:val="04A0" w:firstRow="1" w:lastRow="0" w:firstColumn="1" w:lastColumn="0" w:noHBand="0" w:noVBand="1"/>
      </w:tblPr>
      <w:tblGrid>
        <w:gridCol w:w="2952"/>
        <w:gridCol w:w="2095"/>
      </w:tblGrid>
      <w:tr w:rsidR="00695D01" w:rsidRPr="00EA0FF7" w:rsidTr="005D5FB5">
        <w:trPr>
          <w:trHeight w:val="300"/>
          <w:jc w:val="center"/>
        </w:trPr>
        <w:tc>
          <w:tcPr>
            <w:tcW w:w="2952" w:type="dxa"/>
            <w:shd w:val="clear" w:color="auto" w:fill="D9D9D9"/>
            <w:noWrap/>
          </w:tcPr>
          <w:p w:rsidR="00695D01" w:rsidRPr="00EA0FF7" w:rsidRDefault="00695D01" w:rsidP="005D5FB5">
            <w:pPr>
              <w:pStyle w:val="chiffres2"/>
            </w:pPr>
          </w:p>
        </w:tc>
        <w:tc>
          <w:tcPr>
            <w:tcW w:w="2095" w:type="dxa"/>
            <w:shd w:val="clear" w:color="auto" w:fill="D9D9D9"/>
            <w:noWrap/>
          </w:tcPr>
          <w:p w:rsidR="00695D01" w:rsidRPr="00F35D45" w:rsidRDefault="00695D01" w:rsidP="005D5FB5">
            <w:pPr>
              <w:pStyle w:val="chiffres2"/>
              <w:jc w:val="center"/>
              <w:rPr>
                <w:b/>
                <w:lang w:val="en-CA"/>
              </w:rPr>
            </w:pPr>
            <w:r w:rsidRPr="00F35D45">
              <w:rPr>
                <w:b/>
                <w:lang w:val="en-CA"/>
              </w:rPr>
              <w:t>% of respondents</w:t>
            </w:r>
          </w:p>
        </w:tc>
      </w:tr>
      <w:tr w:rsidR="00695D01" w:rsidRPr="00EA0FF7" w:rsidTr="005D5FB5">
        <w:trPr>
          <w:trHeight w:val="300"/>
          <w:jc w:val="center"/>
        </w:trPr>
        <w:tc>
          <w:tcPr>
            <w:tcW w:w="2952" w:type="dxa"/>
            <w:shd w:val="clear" w:color="auto" w:fill="D9D9D9"/>
            <w:noWrap/>
            <w:hideMark/>
          </w:tcPr>
          <w:p w:rsidR="00695D01" w:rsidRPr="00EA0FF7" w:rsidRDefault="00695D01" w:rsidP="005D5FB5">
            <w:pPr>
              <w:pStyle w:val="chiffres2"/>
            </w:pPr>
            <w:r w:rsidRPr="00EA0FF7">
              <w:t>Never</w:t>
            </w:r>
          </w:p>
        </w:tc>
        <w:tc>
          <w:tcPr>
            <w:tcW w:w="2095" w:type="dxa"/>
            <w:shd w:val="clear" w:color="auto" w:fill="D9D9D9"/>
            <w:noWrap/>
            <w:hideMark/>
          </w:tcPr>
          <w:p w:rsidR="00695D01" w:rsidRPr="00EA0FF7" w:rsidRDefault="00695D01" w:rsidP="005D5FB5">
            <w:pPr>
              <w:pStyle w:val="chiffres2"/>
              <w:jc w:val="center"/>
            </w:pPr>
            <w:r>
              <w:t>1</w:t>
            </w:r>
          </w:p>
        </w:tc>
      </w:tr>
      <w:tr w:rsidR="00695D01" w:rsidRPr="00EA0FF7" w:rsidTr="005D5FB5">
        <w:trPr>
          <w:trHeight w:val="300"/>
          <w:jc w:val="center"/>
        </w:trPr>
        <w:tc>
          <w:tcPr>
            <w:tcW w:w="2952" w:type="dxa"/>
            <w:shd w:val="clear" w:color="auto" w:fill="D9D9D9"/>
            <w:noWrap/>
            <w:hideMark/>
          </w:tcPr>
          <w:p w:rsidR="00695D01" w:rsidRPr="00ED0E89" w:rsidRDefault="00695D01" w:rsidP="005D5FB5">
            <w:pPr>
              <w:pStyle w:val="chiffres2"/>
              <w:rPr>
                <w:lang w:val="en-CA"/>
              </w:rPr>
            </w:pPr>
            <w:r w:rsidRPr="00ED0E89">
              <w:rPr>
                <w:lang w:val="en-CA"/>
              </w:rPr>
              <w:t>Only during final beta testing</w:t>
            </w:r>
          </w:p>
        </w:tc>
        <w:tc>
          <w:tcPr>
            <w:tcW w:w="2095" w:type="dxa"/>
            <w:shd w:val="clear" w:color="auto" w:fill="D9D9D9"/>
            <w:noWrap/>
            <w:hideMark/>
          </w:tcPr>
          <w:p w:rsidR="00695D01" w:rsidRPr="00EA0FF7" w:rsidRDefault="00695D01" w:rsidP="005D5FB5">
            <w:pPr>
              <w:pStyle w:val="chiffres2"/>
              <w:jc w:val="center"/>
            </w:pPr>
            <w:r>
              <w:t>20</w:t>
            </w:r>
          </w:p>
        </w:tc>
      </w:tr>
      <w:tr w:rsidR="00695D01" w:rsidRPr="00EA0FF7" w:rsidTr="005D5FB5">
        <w:trPr>
          <w:trHeight w:val="300"/>
          <w:jc w:val="center"/>
        </w:trPr>
        <w:tc>
          <w:tcPr>
            <w:tcW w:w="2952" w:type="dxa"/>
            <w:shd w:val="clear" w:color="auto" w:fill="D9D9D9"/>
            <w:noWrap/>
            <w:hideMark/>
          </w:tcPr>
          <w:p w:rsidR="00695D01" w:rsidRPr="00107C87" w:rsidRDefault="00695D01" w:rsidP="005D5FB5">
            <w:pPr>
              <w:pStyle w:val="chiffres2"/>
              <w:rPr>
                <w:lang w:val="en-CA"/>
              </w:rPr>
            </w:pPr>
            <w:r w:rsidRPr="00107C87">
              <w:rPr>
                <w:lang w:val="en-CA"/>
              </w:rPr>
              <w:t>Before every milestone</w:t>
            </w:r>
          </w:p>
        </w:tc>
        <w:tc>
          <w:tcPr>
            <w:tcW w:w="2095" w:type="dxa"/>
            <w:shd w:val="clear" w:color="auto" w:fill="D9D9D9"/>
            <w:noWrap/>
            <w:hideMark/>
          </w:tcPr>
          <w:p w:rsidR="00695D01" w:rsidRPr="00107C87" w:rsidRDefault="00695D01" w:rsidP="005D5FB5">
            <w:pPr>
              <w:pStyle w:val="chiffres2"/>
              <w:jc w:val="center"/>
              <w:rPr>
                <w:lang w:val="en-CA"/>
              </w:rPr>
            </w:pPr>
            <w:r w:rsidRPr="00107C87">
              <w:rPr>
                <w:lang w:val="en-CA"/>
              </w:rPr>
              <w:t>62</w:t>
            </w:r>
          </w:p>
        </w:tc>
      </w:tr>
      <w:tr w:rsidR="00695D01" w:rsidRPr="00EA0FF7" w:rsidTr="005D5FB5">
        <w:trPr>
          <w:trHeight w:val="300"/>
          <w:jc w:val="center"/>
        </w:trPr>
        <w:tc>
          <w:tcPr>
            <w:tcW w:w="2952" w:type="dxa"/>
            <w:shd w:val="clear" w:color="auto" w:fill="D9D9D9"/>
            <w:noWrap/>
            <w:hideMark/>
          </w:tcPr>
          <w:p w:rsidR="00695D01" w:rsidRPr="00107C87" w:rsidRDefault="00695D01" w:rsidP="005D5FB5">
            <w:pPr>
              <w:pStyle w:val="chiffres2"/>
              <w:rPr>
                <w:lang w:val="en-CA"/>
              </w:rPr>
            </w:pPr>
            <w:r w:rsidRPr="00107C87">
              <w:rPr>
                <w:lang w:val="en-CA"/>
              </w:rPr>
              <w:t>Monthly or more</w:t>
            </w:r>
          </w:p>
        </w:tc>
        <w:tc>
          <w:tcPr>
            <w:tcW w:w="2095" w:type="dxa"/>
            <w:shd w:val="clear" w:color="auto" w:fill="D9D9D9"/>
            <w:noWrap/>
            <w:hideMark/>
          </w:tcPr>
          <w:p w:rsidR="00695D01" w:rsidRPr="00107C87" w:rsidRDefault="00695D01" w:rsidP="005D5FB5">
            <w:pPr>
              <w:pStyle w:val="chiffres2"/>
              <w:jc w:val="center"/>
              <w:rPr>
                <w:lang w:val="en-CA"/>
              </w:rPr>
            </w:pPr>
            <w:r w:rsidRPr="00107C87">
              <w:rPr>
                <w:lang w:val="en-CA"/>
              </w:rPr>
              <w:t>17</w:t>
            </w:r>
          </w:p>
        </w:tc>
      </w:tr>
    </w:tbl>
    <w:p w:rsidR="00ED0E89" w:rsidRPr="00EA0FF7" w:rsidRDefault="00ED0E89" w:rsidP="00763264">
      <w:pPr>
        <w:pStyle w:val="p"/>
      </w:pPr>
    </w:p>
    <w:p w:rsidR="00ED0E89" w:rsidRPr="00EA0FF7" w:rsidRDefault="00ED0E89" w:rsidP="00ED0E89">
      <w:pPr>
        <w:pStyle w:val="Heading2"/>
        <w:rPr>
          <w:lang w:val="en-CA"/>
        </w:rPr>
      </w:pPr>
      <w:bookmarkStart w:id="29" w:name="_Toc408662187"/>
      <w:bookmarkStart w:id="30" w:name="_Toc428799771"/>
      <w:r>
        <w:rPr>
          <w:lang w:val="en-CA"/>
        </w:rPr>
        <w:t>W</w:t>
      </w:r>
      <w:r w:rsidRPr="00EA0FF7">
        <w:rPr>
          <w:lang w:val="en-CA"/>
        </w:rPr>
        <w:t>eeks in a row</w:t>
      </w:r>
      <w:r>
        <w:rPr>
          <w:lang w:val="en-CA"/>
        </w:rPr>
        <w:t xml:space="preserve"> of crunch </w:t>
      </w:r>
      <w:r w:rsidRPr="00BA3CDF">
        <w:rPr>
          <w:lang w:val="en-CA"/>
        </w:rPr>
        <w:t>time on a downward trend</w:t>
      </w:r>
      <w:bookmarkEnd w:id="29"/>
      <w:bookmarkEnd w:id="30"/>
      <w:r w:rsidRPr="00EA0FF7">
        <w:rPr>
          <w:lang w:val="en-CA"/>
        </w:rPr>
        <w:t xml:space="preserve"> </w:t>
      </w:r>
    </w:p>
    <w:p w:rsidR="00695D01" w:rsidRPr="00EA13AA" w:rsidRDefault="00695D01" w:rsidP="00695D01">
      <w:pPr>
        <w:pStyle w:val="p"/>
      </w:pPr>
      <w:r w:rsidRPr="00EA13AA">
        <w:t xml:space="preserve">Table 12 and </w:t>
      </w:r>
      <w:r w:rsidR="00D97B1A">
        <w:t>Chart </w:t>
      </w:r>
      <w:r w:rsidRPr="00EA13AA">
        <w:t xml:space="preserve">10 show the number of weeks in a row that developers are engaged in crunch hours. We see that as with other measures of crunch, this one also marks a downward trend. The percentage of respondents working in crunch for </w:t>
      </w:r>
      <w:r w:rsidRPr="00DA5796">
        <w:rPr>
          <w:highlight w:val="yellow"/>
        </w:rPr>
        <w:t>fewer than 10 weeks in a row</w:t>
      </w:r>
      <w:r w:rsidR="00FE5823">
        <w:rPr>
          <w:highlight w:val="yellow"/>
        </w:rPr>
        <w:t xml:space="preserve"> (excluding those who never crunch)</w:t>
      </w:r>
      <w:r w:rsidRPr="00DA5796">
        <w:rPr>
          <w:highlight w:val="yellow"/>
        </w:rPr>
        <w:t xml:space="preserve"> increases from 7</w:t>
      </w:r>
      <w:r w:rsidR="00AC1897">
        <w:rPr>
          <w:highlight w:val="yellow"/>
        </w:rPr>
        <w:t>7</w:t>
      </w:r>
      <w:r w:rsidRPr="00DA5796">
        <w:rPr>
          <w:highlight w:val="yellow"/>
        </w:rPr>
        <w:t xml:space="preserve">% in 2004 to </w:t>
      </w:r>
      <w:r w:rsidR="00FE5823">
        <w:rPr>
          <w:highlight w:val="yellow"/>
        </w:rPr>
        <w:t>7</w:t>
      </w:r>
      <w:r w:rsidRPr="00DA5796">
        <w:rPr>
          <w:highlight w:val="yellow"/>
        </w:rPr>
        <w:t>5% in 2009 and to 92% in 2014</w:t>
      </w:r>
      <w:r w:rsidRPr="00EA13AA">
        <w:t xml:space="preserve">. </w:t>
      </w:r>
    </w:p>
    <w:p w:rsidR="00695D01" w:rsidRPr="00EA13AA" w:rsidRDefault="00695D01" w:rsidP="00695D01">
      <w:pPr>
        <w:pStyle w:val="p"/>
      </w:pPr>
      <w:r w:rsidRPr="00EA13AA">
        <w:t xml:space="preserve">We can get more detailed data from the latter surveys; the 2004 survey did not provide options beyond 10+ weeks. </w:t>
      </w:r>
      <w:r w:rsidRPr="00DA5796">
        <w:rPr>
          <w:highlight w:val="yellow"/>
        </w:rPr>
        <w:t xml:space="preserve">For instance, in 2009, </w:t>
      </w:r>
      <w:r w:rsidR="00FE5823">
        <w:rPr>
          <w:highlight w:val="yellow"/>
        </w:rPr>
        <w:t>8</w:t>
      </w:r>
      <w:r w:rsidR="00AC1897">
        <w:rPr>
          <w:highlight w:val="yellow"/>
        </w:rPr>
        <w:t>3</w:t>
      </w:r>
      <w:r w:rsidRPr="00DA5796">
        <w:rPr>
          <w:highlight w:val="yellow"/>
        </w:rPr>
        <w:t>% of the respondents were working in crunch for fewer than 15 weeks in in a row</w:t>
      </w:r>
      <w:r w:rsidR="00FE5823">
        <w:rPr>
          <w:highlight w:val="yellow"/>
        </w:rPr>
        <w:t xml:space="preserve"> (ex</w:t>
      </w:r>
      <w:r w:rsidR="004317D7">
        <w:rPr>
          <w:highlight w:val="yellow"/>
        </w:rPr>
        <w:t>cluding those who do not work in crunch)</w:t>
      </w:r>
      <w:r w:rsidRPr="00DA5796">
        <w:rPr>
          <w:highlight w:val="yellow"/>
        </w:rPr>
        <w:t xml:space="preserve">. More than </w:t>
      </w:r>
      <w:r w:rsidR="00FE5823">
        <w:rPr>
          <w:highlight w:val="yellow"/>
        </w:rPr>
        <w:t>68</w:t>
      </w:r>
      <w:r w:rsidRPr="00DA5796">
        <w:rPr>
          <w:highlight w:val="yellow"/>
        </w:rPr>
        <w:t>% of the respondents were in the same situation in 2014</w:t>
      </w:r>
      <w:r w:rsidRPr="00EA13AA">
        <w:t xml:space="preserve">. </w:t>
      </w:r>
    </w:p>
    <w:p w:rsidR="00EA13AA" w:rsidRDefault="00EA13AA" w:rsidP="00EA13AA">
      <w:pPr>
        <w:pStyle w:val="p"/>
      </w:pPr>
      <w:r w:rsidRPr="00EA13AA">
        <w:t xml:space="preserve">All of this is good news, however, more than </w:t>
      </w:r>
      <w:r w:rsidRPr="00DA5796">
        <w:rPr>
          <w:highlight w:val="yellow"/>
        </w:rPr>
        <w:t>2 weeks of crunch in a row</w:t>
      </w:r>
      <w:r w:rsidRPr="00EA13AA">
        <w:t xml:space="preserve"> is still a lot and can challenge health and other aspects of your life. </w:t>
      </w:r>
      <w:r w:rsidRPr="00DA5796">
        <w:rPr>
          <w:highlight w:val="yellow"/>
        </w:rPr>
        <w:t>Five weeks</w:t>
      </w:r>
      <w:r w:rsidRPr="00EA13AA">
        <w:t xml:space="preserve"> in a row is much worse. How many respondents are in this situation? Again a declining trend: </w:t>
      </w:r>
      <w:r w:rsidR="00B20514">
        <w:rPr>
          <w:highlight w:val="yellow"/>
        </w:rPr>
        <w:t>15</w:t>
      </w:r>
      <w:r w:rsidRPr="00DA5796">
        <w:rPr>
          <w:highlight w:val="yellow"/>
        </w:rPr>
        <w:t xml:space="preserve">% in 2004, </w:t>
      </w:r>
      <w:r w:rsidR="004317D7">
        <w:rPr>
          <w:highlight w:val="yellow"/>
        </w:rPr>
        <w:t>15</w:t>
      </w:r>
      <w:r w:rsidRPr="00DA5796">
        <w:rPr>
          <w:highlight w:val="yellow"/>
        </w:rPr>
        <w:t xml:space="preserve">% </w:t>
      </w:r>
      <w:r w:rsidR="004317D7">
        <w:rPr>
          <w:highlight w:val="yellow"/>
        </w:rPr>
        <w:t xml:space="preserve">work 5 to 9 weeks in a row </w:t>
      </w:r>
      <w:r w:rsidRPr="00DA5796">
        <w:rPr>
          <w:highlight w:val="yellow"/>
        </w:rPr>
        <w:t xml:space="preserve">in 2009, </w:t>
      </w:r>
      <w:r w:rsidR="004317D7">
        <w:rPr>
          <w:highlight w:val="yellow"/>
        </w:rPr>
        <w:t>9</w:t>
      </w:r>
      <w:r w:rsidRPr="00DA5796">
        <w:rPr>
          <w:highlight w:val="yellow"/>
        </w:rPr>
        <w:t>% in 2014</w:t>
      </w:r>
      <w:r w:rsidRPr="00EA13AA">
        <w:t>.</w:t>
      </w:r>
      <w:r w:rsidRPr="00D719F4">
        <w:t xml:space="preserve"> </w:t>
      </w:r>
    </w:p>
    <w:p w:rsidR="00C10941" w:rsidRPr="00D719F4" w:rsidRDefault="00C10941" w:rsidP="00EA13AA">
      <w:pPr>
        <w:pStyle w:val="p"/>
      </w:pPr>
    </w:p>
    <w:p w:rsidR="00ED0E89" w:rsidRPr="00BA3CDF" w:rsidRDefault="00ED0E89" w:rsidP="00ED0E89">
      <w:pPr>
        <w:pStyle w:val="Heading5"/>
        <w:rPr>
          <w:lang w:val="en-CA"/>
        </w:rPr>
      </w:pPr>
      <w:r>
        <w:rPr>
          <w:lang w:val="en-CA"/>
        </w:rPr>
        <w:lastRenderedPageBreak/>
        <w:t>Table 12</w:t>
      </w:r>
    </w:p>
    <w:p w:rsidR="00ED0E89" w:rsidRPr="00EA0FF7" w:rsidRDefault="00ED0E89" w:rsidP="00ED0E89">
      <w:pPr>
        <w:pStyle w:val="Heading5"/>
        <w:rPr>
          <w:lang w:val="en-CA"/>
        </w:rPr>
      </w:pPr>
      <w:r w:rsidRPr="00EA0FF7">
        <w:rPr>
          <w:lang w:val="en-CA"/>
        </w:rPr>
        <w:t>On average how many weeks in a row do you crunch?</w:t>
      </w:r>
    </w:p>
    <w:tbl>
      <w:tblPr>
        <w:tblW w:w="6947" w:type="dxa"/>
        <w:tblInd w:w="1164"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CellMar>
          <w:left w:w="0" w:type="dxa"/>
          <w:right w:w="0" w:type="dxa"/>
        </w:tblCellMar>
        <w:tblLook w:val="0000" w:firstRow="0" w:lastRow="0" w:firstColumn="0" w:lastColumn="0" w:noHBand="0" w:noVBand="0"/>
      </w:tblPr>
      <w:tblGrid>
        <w:gridCol w:w="1560"/>
        <w:gridCol w:w="1843"/>
        <w:gridCol w:w="1843"/>
        <w:gridCol w:w="1701"/>
      </w:tblGrid>
      <w:tr w:rsidR="00ED0E89" w:rsidRPr="00EA0FF7" w:rsidTr="00E17D21">
        <w:trPr>
          <w:cantSplit/>
        </w:trPr>
        <w:tc>
          <w:tcPr>
            <w:tcW w:w="1560" w:type="dxa"/>
            <w:shd w:val="clear" w:color="auto" w:fill="D9D9D9"/>
            <w:vAlign w:val="center"/>
          </w:tcPr>
          <w:p w:rsidR="00ED0E89" w:rsidRPr="00EA0FF7" w:rsidRDefault="00ED0E89" w:rsidP="003F6C69">
            <w:pPr>
              <w:pStyle w:val="chiffres"/>
              <w:rPr>
                <w:lang w:val="en-CA"/>
              </w:rPr>
            </w:pPr>
          </w:p>
        </w:tc>
        <w:tc>
          <w:tcPr>
            <w:tcW w:w="1843" w:type="dxa"/>
            <w:shd w:val="clear" w:color="auto" w:fill="D9D9D9"/>
          </w:tcPr>
          <w:p w:rsidR="00ED0E89" w:rsidRPr="00EA0FF7" w:rsidRDefault="00ED0E89" w:rsidP="003F6C69">
            <w:pPr>
              <w:pStyle w:val="chiffres"/>
              <w:rPr>
                <w:lang w:val="en-CA"/>
              </w:rPr>
            </w:pPr>
            <w:r w:rsidRPr="00EA0FF7">
              <w:rPr>
                <w:lang w:val="en-CA"/>
              </w:rPr>
              <w:t>2004</w:t>
            </w:r>
          </w:p>
        </w:tc>
        <w:tc>
          <w:tcPr>
            <w:tcW w:w="1843" w:type="dxa"/>
            <w:shd w:val="clear" w:color="auto" w:fill="D9D9D9"/>
          </w:tcPr>
          <w:p w:rsidR="00ED0E89" w:rsidRPr="00EA0FF7" w:rsidRDefault="00ED0E89" w:rsidP="003F6C69">
            <w:pPr>
              <w:pStyle w:val="chiffres"/>
              <w:rPr>
                <w:lang w:val="en-CA"/>
              </w:rPr>
            </w:pPr>
            <w:r w:rsidRPr="00EA0FF7">
              <w:rPr>
                <w:lang w:val="en-CA"/>
              </w:rPr>
              <w:t>2009</w:t>
            </w:r>
          </w:p>
        </w:tc>
        <w:tc>
          <w:tcPr>
            <w:tcW w:w="1701" w:type="dxa"/>
            <w:shd w:val="clear" w:color="auto" w:fill="D9D9D9"/>
          </w:tcPr>
          <w:p w:rsidR="00ED0E89" w:rsidRPr="00EA0FF7" w:rsidRDefault="00ED0E89" w:rsidP="003F6C69">
            <w:pPr>
              <w:pStyle w:val="chiffres"/>
              <w:rPr>
                <w:lang w:val="en-CA"/>
              </w:rPr>
            </w:pPr>
            <w:r w:rsidRPr="00EA0FF7">
              <w:rPr>
                <w:lang w:val="en-CA"/>
              </w:rPr>
              <w:t>2014</w:t>
            </w:r>
          </w:p>
        </w:tc>
      </w:tr>
      <w:tr w:rsidR="00ED0E89" w:rsidRPr="00EA0FF7" w:rsidTr="00E17D21">
        <w:trPr>
          <w:cantSplit/>
        </w:trPr>
        <w:tc>
          <w:tcPr>
            <w:tcW w:w="1560" w:type="dxa"/>
            <w:shd w:val="clear" w:color="auto" w:fill="D9D9D9"/>
            <w:vAlign w:val="center"/>
          </w:tcPr>
          <w:p w:rsidR="00ED0E89" w:rsidRPr="00EA0FF7" w:rsidRDefault="00ED0E89" w:rsidP="003F6C69">
            <w:pPr>
              <w:pStyle w:val="chiffres2"/>
            </w:pPr>
            <w:r w:rsidRPr="00EA0FF7">
              <w:t>0</w:t>
            </w:r>
          </w:p>
        </w:tc>
        <w:tc>
          <w:tcPr>
            <w:tcW w:w="1843" w:type="dxa"/>
            <w:shd w:val="clear" w:color="auto" w:fill="FFFF00"/>
          </w:tcPr>
          <w:p w:rsidR="00ED0E89" w:rsidRPr="00EA0FF7" w:rsidRDefault="00ED0E89" w:rsidP="00695D01">
            <w:pPr>
              <w:pStyle w:val="chiffres2"/>
              <w:jc w:val="center"/>
            </w:pPr>
          </w:p>
        </w:tc>
        <w:tc>
          <w:tcPr>
            <w:tcW w:w="1843" w:type="dxa"/>
            <w:shd w:val="clear" w:color="auto" w:fill="FFFF00"/>
          </w:tcPr>
          <w:p w:rsidR="00ED0E89" w:rsidRDefault="00ED0E89" w:rsidP="00695D01">
            <w:pPr>
              <w:pStyle w:val="chiffres2"/>
              <w:jc w:val="center"/>
            </w:pPr>
            <w:r>
              <w:t>10</w:t>
            </w:r>
          </w:p>
        </w:tc>
        <w:tc>
          <w:tcPr>
            <w:tcW w:w="1701" w:type="dxa"/>
            <w:shd w:val="clear" w:color="auto" w:fill="FFFF00"/>
          </w:tcPr>
          <w:p w:rsidR="00ED0E89" w:rsidRPr="00EA0FF7" w:rsidRDefault="00ED0E89" w:rsidP="00695D01">
            <w:pPr>
              <w:pStyle w:val="chiffres2"/>
              <w:jc w:val="center"/>
            </w:pPr>
            <w:r>
              <w:t>28</w:t>
            </w:r>
          </w:p>
        </w:tc>
      </w:tr>
      <w:tr w:rsidR="00ED0E89" w:rsidRPr="00EA0FF7" w:rsidTr="00E17D21">
        <w:trPr>
          <w:cantSplit/>
        </w:trPr>
        <w:tc>
          <w:tcPr>
            <w:tcW w:w="1560" w:type="dxa"/>
            <w:shd w:val="clear" w:color="auto" w:fill="D9D9D9"/>
            <w:vAlign w:val="center"/>
          </w:tcPr>
          <w:p w:rsidR="00ED0E89" w:rsidRPr="00EA0FF7" w:rsidRDefault="00ED0E89" w:rsidP="003F6C69">
            <w:pPr>
              <w:pStyle w:val="chiffres2"/>
            </w:pPr>
            <w:r w:rsidRPr="00EA0FF7">
              <w:t>.5-4</w:t>
            </w:r>
          </w:p>
        </w:tc>
        <w:tc>
          <w:tcPr>
            <w:tcW w:w="1843" w:type="dxa"/>
            <w:shd w:val="clear" w:color="auto" w:fill="FFFF00"/>
          </w:tcPr>
          <w:p w:rsidR="00ED0E89" w:rsidRPr="00EA0FF7" w:rsidRDefault="00ED0E89" w:rsidP="00695D01">
            <w:pPr>
              <w:pStyle w:val="chiffres2"/>
              <w:jc w:val="center"/>
            </w:pPr>
            <w:r>
              <w:t>62</w:t>
            </w:r>
          </w:p>
        </w:tc>
        <w:tc>
          <w:tcPr>
            <w:tcW w:w="1843" w:type="dxa"/>
            <w:shd w:val="clear" w:color="auto" w:fill="FFFF00"/>
          </w:tcPr>
          <w:p w:rsidR="00ED0E89" w:rsidRDefault="00ED0E89" w:rsidP="00695D01">
            <w:pPr>
              <w:pStyle w:val="chiffres2"/>
              <w:jc w:val="center"/>
            </w:pPr>
            <w:r>
              <w:t>60</w:t>
            </w:r>
          </w:p>
        </w:tc>
        <w:tc>
          <w:tcPr>
            <w:tcW w:w="1701" w:type="dxa"/>
            <w:shd w:val="clear" w:color="auto" w:fill="FFFF00"/>
          </w:tcPr>
          <w:p w:rsidR="00ED0E89" w:rsidRPr="00EA0FF7" w:rsidRDefault="00ED0E89" w:rsidP="00695D01">
            <w:pPr>
              <w:pStyle w:val="chiffres2"/>
              <w:jc w:val="center"/>
            </w:pPr>
            <w:r>
              <w:t>55</w:t>
            </w:r>
          </w:p>
        </w:tc>
      </w:tr>
      <w:tr w:rsidR="00ED0E89" w:rsidRPr="00EA0FF7" w:rsidTr="00E17D21">
        <w:trPr>
          <w:cantSplit/>
        </w:trPr>
        <w:tc>
          <w:tcPr>
            <w:tcW w:w="1560" w:type="dxa"/>
            <w:shd w:val="clear" w:color="auto" w:fill="D9D9D9"/>
            <w:vAlign w:val="center"/>
          </w:tcPr>
          <w:p w:rsidR="00ED0E89" w:rsidRPr="00EA0FF7" w:rsidRDefault="00ED0E89" w:rsidP="003F6C69">
            <w:pPr>
              <w:pStyle w:val="chiffres2"/>
            </w:pPr>
            <w:r w:rsidRPr="00EA0FF7">
              <w:t>5-9</w:t>
            </w:r>
          </w:p>
        </w:tc>
        <w:tc>
          <w:tcPr>
            <w:tcW w:w="1843" w:type="dxa"/>
            <w:shd w:val="clear" w:color="auto" w:fill="FFFF00"/>
          </w:tcPr>
          <w:p w:rsidR="00ED0E89" w:rsidRPr="00EA0FF7" w:rsidRDefault="00ED0E89" w:rsidP="00695D01">
            <w:pPr>
              <w:pStyle w:val="chiffres2"/>
              <w:jc w:val="center"/>
            </w:pPr>
            <w:r>
              <w:t>15</w:t>
            </w:r>
          </w:p>
        </w:tc>
        <w:tc>
          <w:tcPr>
            <w:tcW w:w="1843" w:type="dxa"/>
            <w:shd w:val="clear" w:color="auto" w:fill="FFFF00"/>
          </w:tcPr>
          <w:p w:rsidR="00ED0E89" w:rsidRDefault="00ED0E89" w:rsidP="00695D01">
            <w:pPr>
              <w:pStyle w:val="chiffres2"/>
              <w:jc w:val="center"/>
            </w:pPr>
            <w:r>
              <w:t>15</w:t>
            </w:r>
          </w:p>
        </w:tc>
        <w:tc>
          <w:tcPr>
            <w:tcW w:w="1701" w:type="dxa"/>
            <w:shd w:val="clear" w:color="auto" w:fill="FFFF00"/>
          </w:tcPr>
          <w:p w:rsidR="00ED0E89" w:rsidRPr="00EA0FF7" w:rsidRDefault="00ED0E89" w:rsidP="00695D01">
            <w:pPr>
              <w:pStyle w:val="chiffres2"/>
              <w:jc w:val="center"/>
            </w:pPr>
            <w:r>
              <w:t>9</w:t>
            </w:r>
          </w:p>
        </w:tc>
      </w:tr>
      <w:tr w:rsidR="00ED0E89" w:rsidRPr="00EA0FF7" w:rsidTr="00E17D21">
        <w:trPr>
          <w:cantSplit/>
        </w:trPr>
        <w:tc>
          <w:tcPr>
            <w:tcW w:w="1560" w:type="dxa"/>
            <w:shd w:val="clear" w:color="auto" w:fill="D9D9D9"/>
            <w:vAlign w:val="center"/>
          </w:tcPr>
          <w:p w:rsidR="00ED0E89" w:rsidRPr="00EA0FF7" w:rsidRDefault="00ED0E89" w:rsidP="003F6C69">
            <w:pPr>
              <w:pStyle w:val="chiffres2"/>
            </w:pPr>
            <w:r w:rsidRPr="00EA0FF7">
              <w:t>10-14</w:t>
            </w:r>
          </w:p>
        </w:tc>
        <w:tc>
          <w:tcPr>
            <w:tcW w:w="1843" w:type="dxa"/>
            <w:vMerge w:val="restart"/>
            <w:shd w:val="clear" w:color="auto" w:fill="FFFF00"/>
          </w:tcPr>
          <w:p w:rsidR="00ED0E89" w:rsidRPr="00EA0FF7" w:rsidRDefault="00ED0E89" w:rsidP="00695D01">
            <w:pPr>
              <w:pStyle w:val="chiffres2"/>
              <w:jc w:val="center"/>
            </w:pPr>
            <w:r>
              <w:t>22</w:t>
            </w:r>
          </w:p>
        </w:tc>
        <w:tc>
          <w:tcPr>
            <w:tcW w:w="1843" w:type="dxa"/>
            <w:shd w:val="clear" w:color="auto" w:fill="FFFF00"/>
          </w:tcPr>
          <w:p w:rsidR="00ED0E89" w:rsidRDefault="00ED0E89" w:rsidP="00695D01">
            <w:pPr>
              <w:pStyle w:val="chiffres2"/>
              <w:jc w:val="center"/>
            </w:pPr>
            <w:r>
              <w:t>8</w:t>
            </w:r>
          </w:p>
        </w:tc>
        <w:tc>
          <w:tcPr>
            <w:tcW w:w="1701" w:type="dxa"/>
            <w:shd w:val="clear" w:color="auto" w:fill="FFFF00"/>
          </w:tcPr>
          <w:p w:rsidR="00ED0E89" w:rsidRPr="00EA0FF7" w:rsidRDefault="00ED0E89" w:rsidP="00695D01">
            <w:pPr>
              <w:pStyle w:val="chiffres2"/>
              <w:jc w:val="center"/>
            </w:pPr>
            <w:r>
              <w:t>4</w:t>
            </w:r>
          </w:p>
        </w:tc>
      </w:tr>
      <w:tr w:rsidR="00ED0E89" w:rsidRPr="00EA0FF7" w:rsidTr="00E17D21">
        <w:trPr>
          <w:cantSplit/>
        </w:trPr>
        <w:tc>
          <w:tcPr>
            <w:tcW w:w="1560" w:type="dxa"/>
            <w:shd w:val="clear" w:color="auto" w:fill="D9D9D9"/>
            <w:vAlign w:val="center"/>
          </w:tcPr>
          <w:p w:rsidR="00ED0E89" w:rsidRPr="00EA0FF7" w:rsidRDefault="00ED0E89" w:rsidP="003F6C69">
            <w:pPr>
              <w:pStyle w:val="chiffres2"/>
            </w:pPr>
            <w:r w:rsidRPr="00EA0FF7">
              <w:t>15-19</w:t>
            </w:r>
          </w:p>
        </w:tc>
        <w:tc>
          <w:tcPr>
            <w:tcW w:w="1843" w:type="dxa"/>
            <w:vMerge/>
            <w:shd w:val="clear" w:color="auto" w:fill="D9D9D9"/>
          </w:tcPr>
          <w:p w:rsidR="00ED0E89" w:rsidRPr="00EA0FF7" w:rsidRDefault="00ED0E89" w:rsidP="00695D01">
            <w:pPr>
              <w:pStyle w:val="chiffres2"/>
              <w:jc w:val="center"/>
            </w:pPr>
          </w:p>
        </w:tc>
        <w:tc>
          <w:tcPr>
            <w:tcW w:w="1843" w:type="dxa"/>
            <w:shd w:val="clear" w:color="auto" w:fill="D9D9D9"/>
          </w:tcPr>
          <w:p w:rsidR="00ED0E89" w:rsidRDefault="00ED0E89" w:rsidP="00695D01">
            <w:pPr>
              <w:pStyle w:val="chiffres2"/>
              <w:jc w:val="center"/>
            </w:pPr>
            <w:r>
              <w:t>2</w:t>
            </w:r>
          </w:p>
        </w:tc>
        <w:tc>
          <w:tcPr>
            <w:tcW w:w="1701" w:type="dxa"/>
            <w:shd w:val="clear" w:color="auto" w:fill="D9D9D9"/>
          </w:tcPr>
          <w:p w:rsidR="00ED0E89" w:rsidRPr="00EA0FF7" w:rsidRDefault="00ED0E89" w:rsidP="00695D01">
            <w:pPr>
              <w:pStyle w:val="chiffres2"/>
              <w:jc w:val="center"/>
            </w:pPr>
            <w:r>
              <w:t>1</w:t>
            </w:r>
          </w:p>
        </w:tc>
      </w:tr>
      <w:tr w:rsidR="00ED0E89" w:rsidRPr="00EA0FF7" w:rsidTr="00E17D21">
        <w:trPr>
          <w:cantSplit/>
        </w:trPr>
        <w:tc>
          <w:tcPr>
            <w:tcW w:w="1560" w:type="dxa"/>
            <w:shd w:val="clear" w:color="auto" w:fill="D9D9D9"/>
            <w:vAlign w:val="center"/>
          </w:tcPr>
          <w:p w:rsidR="00ED0E89" w:rsidRPr="00EA0FF7" w:rsidRDefault="00ED0E89" w:rsidP="003F6C69">
            <w:pPr>
              <w:pStyle w:val="chiffres2"/>
            </w:pPr>
            <w:r w:rsidRPr="00EA0FF7">
              <w:t>20-24</w:t>
            </w:r>
          </w:p>
        </w:tc>
        <w:tc>
          <w:tcPr>
            <w:tcW w:w="1843" w:type="dxa"/>
            <w:vMerge/>
            <w:shd w:val="clear" w:color="auto" w:fill="D9D9D9"/>
          </w:tcPr>
          <w:p w:rsidR="00ED0E89" w:rsidRPr="00EA0FF7" w:rsidRDefault="00ED0E89" w:rsidP="00695D01">
            <w:pPr>
              <w:pStyle w:val="chiffres2"/>
              <w:jc w:val="center"/>
            </w:pPr>
          </w:p>
        </w:tc>
        <w:tc>
          <w:tcPr>
            <w:tcW w:w="1843" w:type="dxa"/>
            <w:shd w:val="clear" w:color="auto" w:fill="D9D9D9"/>
          </w:tcPr>
          <w:p w:rsidR="00ED0E89" w:rsidRDefault="00ED0E89" w:rsidP="00695D01">
            <w:pPr>
              <w:pStyle w:val="chiffres2"/>
              <w:jc w:val="center"/>
            </w:pPr>
            <w:r>
              <w:t>2</w:t>
            </w:r>
          </w:p>
        </w:tc>
        <w:tc>
          <w:tcPr>
            <w:tcW w:w="1701" w:type="dxa"/>
            <w:shd w:val="clear" w:color="auto" w:fill="D9D9D9"/>
          </w:tcPr>
          <w:p w:rsidR="00ED0E89" w:rsidRPr="00EA0FF7" w:rsidRDefault="00ED0E89" w:rsidP="00695D01">
            <w:pPr>
              <w:pStyle w:val="chiffres2"/>
              <w:jc w:val="center"/>
            </w:pPr>
            <w:r>
              <w:t>2</w:t>
            </w:r>
          </w:p>
        </w:tc>
      </w:tr>
      <w:tr w:rsidR="00ED0E89" w:rsidRPr="00EA0FF7" w:rsidTr="00E17D21">
        <w:trPr>
          <w:cantSplit/>
        </w:trPr>
        <w:tc>
          <w:tcPr>
            <w:tcW w:w="1560" w:type="dxa"/>
            <w:shd w:val="clear" w:color="auto" w:fill="D9D9D9"/>
            <w:vAlign w:val="center"/>
          </w:tcPr>
          <w:p w:rsidR="00ED0E89" w:rsidRPr="00EA0FF7" w:rsidRDefault="00ED0E89" w:rsidP="003F6C69">
            <w:pPr>
              <w:pStyle w:val="chiffres2"/>
            </w:pPr>
            <w:r w:rsidRPr="00EA0FF7">
              <w:t>25-29</w:t>
            </w:r>
          </w:p>
        </w:tc>
        <w:tc>
          <w:tcPr>
            <w:tcW w:w="1843" w:type="dxa"/>
            <w:vMerge/>
            <w:shd w:val="clear" w:color="auto" w:fill="D9D9D9"/>
          </w:tcPr>
          <w:p w:rsidR="00ED0E89" w:rsidRPr="00EA0FF7" w:rsidRDefault="00ED0E89" w:rsidP="00695D01">
            <w:pPr>
              <w:pStyle w:val="chiffres2"/>
              <w:jc w:val="center"/>
            </w:pPr>
          </w:p>
        </w:tc>
        <w:tc>
          <w:tcPr>
            <w:tcW w:w="1843" w:type="dxa"/>
            <w:shd w:val="clear" w:color="auto" w:fill="D9D9D9"/>
          </w:tcPr>
          <w:p w:rsidR="00ED0E89" w:rsidRDefault="00ED0E89" w:rsidP="00695D01">
            <w:pPr>
              <w:pStyle w:val="chiffres2"/>
              <w:jc w:val="center"/>
            </w:pPr>
            <w:r>
              <w:t>1</w:t>
            </w:r>
          </w:p>
        </w:tc>
        <w:tc>
          <w:tcPr>
            <w:tcW w:w="1701" w:type="dxa"/>
            <w:shd w:val="clear" w:color="auto" w:fill="D9D9D9"/>
          </w:tcPr>
          <w:p w:rsidR="00ED0E89" w:rsidRPr="00EA0FF7" w:rsidRDefault="00ED0E89" w:rsidP="00695D01">
            <w:pPr>
              <w:pStyle w:val="chiffres2"/>
              <w:jc w:val="center"/>
            </w:pPr>
            <w:r>
              <w:t>0</w:t>
            </w:r>
          </w:p>
        </w:tc>
      </w:tr>
      <w:tr w:rsidR="00ED0E89" w:rsidRPr="00EA0FF7" w:rsidTr="00E17D21">
        <w:trPr>
          <w:cantSplit/>
        </w:trPr>
        <w:tc>
          <w:tcPr>
            <w:tcW w:w="1560" w:type="dxa"/>
            <w:shd w:val="clear" w:color="auto" w:fill="D9D9D9"/>
            <w:vAlign w:val="center"/>
          </w:tcPr>
          <w:p w:rsidR="00ED0E89" w:rsidRPr="00EA0FF7" w:rsidRDefault="00ED0E89" w:rsidP="003F6C69">
            <w:pPr>
              <w:pStyle w:val="chiffres2"/>
            </w:pPr>
            <w:r w:rsidRPr="00EA0FF7">
              <w:t>30-34</w:t>
            </w:r>
          </w:p>
        </w:tc>
        <w:tc>
          <w:tcPr>
            <w:tcW w:w="1843" w:type="dxa"/>
            <w:vMerge/>
            <w:shd w:val="clear" w:color="auto" w:fill="D9D9D9"/>
          </w:tcPr>
          <w:p w:rsidR="00ED0E89" w:rsidRPr="00EA0FF7" w:rsidRDefault="00ED0E89" w:rsidP="00695D01">
            <w:pPr>
              <w:pStyle w:val="chiffres2"/>
              <w:jc w:val="center"/>
            </w:pPr>
          </w:p>
        </w:tc>
        <w:tc>
          <w:tcPr>
            <w:tcW w:w="1843" w:type="dxa"/>
            <w:shd w:val="clear" w:color="auto" w:fill="D9D9D9"/>
          </w:tcPr>
          <w:p w:rsidR="00ED0E89" w:rsidRDefault="00ED0E89" w:rsidP="00695D01">
            <w:pPr>
              <w:pStyle w:val="chiffres2"/>
              <w:jc w:val="center"/>
            </w:pPr>
            <w:r>
              <w:t>1</w:t>
            </w:r>
          </w:p>
        </w:tc>
        <w:tc>
          <w:tcPr>
            <w:tcW w:w="1701" w:type="dxa"/>
            <w:shd w:val="clear" w:color="auto" w:fill="D9D9D9"/>
          </w:tcPr>
          <w:p w:rsidR="00ED0E89" w:rsidRPr="00EA0FF7" w:rsidRDefault="00ED0E89" w:rsidP="00695D01">
            <w:pPr>
              <w:pStyle w:val="chiffres2"/>
              <w:jc w:val="center"/>
            </w:pPr>
            <w:r>
              <w:t>0</w:t>
            </w:r>
          </w:p>
        </w:tc>
      </w:tr>
      <w:tr w:rsidR="00ED0E89" w:rsidRPr="00EA0FF7" w:rsidTr="00E17D21">
        <w:trPr>
          <w:cantSplit/>
        </w:trPr>
        <w:tc>
          <w:tcPr>
            <w:tcW w:w="1560" w:type="dxa"/>
            <w:shd w:val="clear" w:color="auto" w:fill="D9D9D9"/>
            <w:vAlign w:val="center"/>
          </w:tcPr>
          <w:p w:rsidR="00ED0E89" w:rsidRPr="00EA0FF7" w:rsidRDefault="00ED0E89" w:rsidP="003F6C69">
            <w:pPr>
              <w:pStyle w:val="chiffres2"/>
            </w:pPr>
            <w:r w:rsidRPr="00EA0FF7">
              <w:t>35-39</w:t>
            </w:r>
          </w:p>
        </w:tc>
        <w:tc>
          <w:tcPr>
            <w:tcW w:w="1843" w:type="dxa"/>
            <w:vMerge/>
            <w:shd w:val="clear" w:color="auto" w:fill="D9D9D9"/>
          </w:tcPr>
          <w:p w:rsidR="00ED0E89" w:rsidRPr="00EA0FF7" w:rsidRDefault="00ED0E89" w:rsidP="00695D01">
            <w:pPr>
              <w:pStyle w:val="chiffres2"/>
              <w:jc w:val="center"/>
            </w:pPr>
          </w:p>
        </w:tc>
        <w:tc>
          <w:tcPr>
            <w:tcW w:w="1843" w:type="dxa"/>
            <w:shd w:val="clear" w:color="auto" w:fill="D9D9D9"/>
          </w:tcPr>
          <w:p w:rsidR="00ED0E89" w:rsidRDefault="00ED0E89" w:rsidP="00695D01">
            <w:pPr>
              <w:pStyle w:val="chiffres2"/>
              <w:jc w:val="center"/>
            </w:pPr>
            <w:r>
              <w:t>0</w:t>
            </w:r>
          </w:p>
        </w:tc>
        <w:tc>
          <w:tcPr>
            <w:tcW w:w="1701" w:type="dxa"/>
            <w:shd w:val="clear" w:color="auto" w:fill="D9D9D9"/>
          </w:tcPr>
          <w:p w:rsidR="00ED0E89" w:rsidRPr="00EA0FF7" w:rsidRDefault="00ED0E89" w:rsidP="00695D01">
            <w:pPr>
              <w:pStyle w:val="chiffres2"/>
              <w:jc w:val="center"/>
            </w:pPr>
            <w:r>
              <w:t>0</w:t>
            </w:r>
          </w:p>
        </w:tc>
      </w:tr>
      <w:tr w:rsidR="00ED0E89" w:rsidRPr="00EA0FF7" w:rsidTr="00E17D21">
        <w:trPr>
          <w:cantSplit/>
        </w:trPr>
        <w:tc>
          <w:tcPr>
            <w:tcW w:w="1560" w:type="dxa"/>
            <w:shd w:val="clear" w:color="auto" w:fill="D9D9D9"/>
            <w:vAlign w:val="center"/>
          </w:tcPr>
          <w:p w:rsidR="00ED0E89" w:rsidRPr="00EA0FF7" w:rsidRDefault="00ED0E89" w:rsidP="003F6C69">
            <w:pPr>
              <w:pStyle w:val="chiffres2"/>
            </w:pPr>
            <w:r w:rsidRPr="00EA0FF7">
              <w:t>40-44</w:t>
            </w:r>
          </w:p>
        </w:tc>
        <w:tc>
          <w:tcPr>
            <w:tcW w:w="1843" w:type="dxa"/>
            <w:vMerge/>
            <w:shd w:val="clear" w:color="auto" w:fill="D9D9D9"/>
          </w:tcPr>
          <w:p w:rsidR="00ED0E89" w:rsidRPr="00EA0FF7" w:rsidRDefault="00ED0E89" w:rsidP="00695D01">
            <w:pPr>
              <w:pStyle w:val="chiffres2"/>
              <w:jc w:val="center"/>
            </w:pPr>
          </w:p>
        </w:tc>
        <w:tc>
          <w:tcPr>
            <w:tcW w:w="1843" w:type="dxa"/>
            <w:shd w:val="clear" w:color="auto" w:fill="D9D9D9"/>
          </w:tcPr>
          <w:p w:rsidR="00ED0E89" w:rsidRDefault="00ED0E89" w:rsidP="00695D01">
            <w:pPr>
              <w:pStyle w:val="chiffres2"/>
              <w:jc w:val="center"/>
            </w:pPr>
            <w:r>
              <w:t>0</w:t>
            </w:r>
          </w:p>
        </w:tc>
        <w:tc>
          <w:tcPr>
            <w:tcW w:w="1701" w:type="dxa"/>
            <w:shd w:val="clear" w:color="auto" w:fill="D9D9D9"/>
          </w:tcPr>
          <w:p w:rsidR="00ED0E89" w:rsidRPr="00EA0FF7" w:rsidRDefault="00ED0E89" w:rsidP="00695D01">
            <w:pPr>
              <w:pStyle w:val="chiffres2"/>
              <w:jc w:val="center"/>
            </w:pPr>
            <w:r w:rsidRPr="00EA0FF7">
              <w:t>0</w:t>
            </w:r>
          </w:p>
        </w:tc>
      </w:tr>
      <w:tr w:rsidR="00ED0E89" w:rsidRPr="00EA0FF7" w:rsidTr="00E17D21">
        <w:trPr>
          <w:cantSplit/>
        </w:trPr>
        <w:tc>
          <w:tcPr>
            <w:tcW w:w="1560" w:type="dxa"/>
            <w:shd w:val="clear" w:color="auto" w:fill="D9D9D9"/>
            <w:vAlign w:val="center"/>
          </w:tcPr>
          <w:p w:rsidR="00ED0E89" w:rsidRPr="00EA0FF7" w:rsidRDefault="00ED0E89" w:rsidP="003F6C69">
            <w:pPr>
              <w:pStyle w:val="chiffres2"/>
            </w:pPr>
            <w:r w:rsidRPr="00EA0FF7">
              <w:t>45-49</w:t>
            </w:r>
          </w:p>
        </w:tc>
        <w:tc>
          <w:tcPr>
            <w:tcW w:w="1843" w:type="dxa"/>
            <w:vMerge/>
            <w:shd w:val="clear" w:color="auto" w:fill="D9D9D9"/>
          </w:tcPr>
          <w:p w:rsidR="00ED0E89" w:rsidRPr="00EA0FF7" w:rsidRDefault="00ED0E89" w:rsidP="00695D01">
            <w:pPr>
              <w:pStyle w:val="chiffres2"/>
              <w:jc w:val="center"/>
            </w:pPr>
          </w:p>
        </w:tc>
        <w:tc>
          <w:tcPr>
            <w:tcW w:w="1843" w:type="dxa"/>
            <w:shd w:val="clear" w:color="auto" w:fill="D9D9D9"/>
          </w:tcPr>
          <w:p w:rsidR="00ED0E89" w:rsidRDefault="00ED0E89" w:rsidP="00695D01">
            <w:pPr>
              <w:pStyle w:val="chiffres2"/>
              <w:jc w:val="center"/>
            </w:pPr>
            <w:r>
              <w:t>0</w:t>
            </w:r>
          </w:p>
        </w:tc>
        <w:tc>
          <w:tcPr>
            <w:tcW w:w="1701" w:type="dxa"/>
            <w:shd w:val="clear" w:color="auto" w:fill="D9D9D9"/>
          </w:tcPr>
          <w:p w:rsidR="00ED0E89" w:rsidRPr="00EA0FF7" w:rsidRDefault="00ED0E89" w:rsidP="00695D01">
            <w:pPr>
              <w:pStyle w:val="chiffres2"/>
              <w:jc w:val="center"/>
            </w:pPr>
            <w:r>
              <w:t>0</w:t>
            </w:r>
          </w:p>
        </w:tc>
      </w:tr>
      <w:tr w:rsidR="00ED0E89" w:rsidRPr="00EA0FF7" w:rsidTr="00E17D21">
        <w:trPr>
          <w:cantSplit/>
        </w:trPr>
        <w:tc>
          <w:tcPr>
            <w:tcW w:w="1560" w:type="dxa"/>
            <w:shd w:val="clear" w:color="auto" w:fill="D9D9D9"/>
            <w:vAlign w:val="center"/>
          </w:tcPr>
          <w:p w:rsidR="00ED0E89" w:rsidRPr="00EA0FF7" w:rsidRDefault="00ED0E89" w:rsidP="003F6C69">
            <w:pPr>
              <w:pStyle w:val="chiffres2"/>
            </w:pPr>
            <w:r w:rsidRPr="00EA0FF7">
              <w:t>50-52</w:t>
            </w:r>
          </w:p>
        </w:tc>
        <w:tc>
          <w:tcPr>
            <w:tcW w:w="1843" w:type="dxa"/>
            <w:vMerge/>
            <w:shd w:val="clear" w:color="auto" w:fill="D9D9D9"/>
          </w:tcPr>
          <w:p w:rsidR="00ED0E89" w:rsidRPr="00EA0FF7" w:rsidRDefault="00ED0E89" w:rsidP="00695D01">
            <w:pPr>
              <w:pStyle w:val="chiffres2"/>
              <w:jc w:val="center"/>
            </w:pPr>
          </w:p>
        </w:tc>
        <w:tc>
          <w:tcPr>
            <w:tcW w:w="1843" w:type="dxa"/>
            <w:shd w:val="clear" w:color="auto" w:fill="D9D9D9"/>
          </w:tcPr>
          <w:p w:rsidR="00ED0E89" w:rsidRDefault="00ED0E89" w:rsidP="00695D01">
            <w:pPr>
              <w:pStyle w:val="chiffres2"/>
              <w:jc w:val="center"/>
            </w:pPr>
            <w:r>
              <w:t>1</w:t>
            </w:r>
          </w:p>
        </w:tc>
        <w:tc>
          <w:tcPr>
            <w:tcW w:w="1701" w:type="dxa"/>
            <w:shd w:val="clear" w:color="auto" w:fill="D9D9D9"/>
          </w:tcPr>
          <w:p w:rsidR="00ED0E89" w:rsidRPr="00EA0FF7" w:rsidRDefault="00ED0E89" w:rsidP="00695D01">
            <w:pPr>
              <w:pStyle w:val="chiffres2"/>
              <w:jc w:val="center"/>
            </w:pPr>
            <w:r>
              <w:t>0</w:t>
            </w:r>
          </w:p>
        </w:tc>
      </w:tr>
    </w:tbl>
    <w:p w:rsidR="00C10941" w:rsidRDefault="00C10941" w:rsidP="00ED0E89">
      <w:pPr>
        <w:pStyle w:val="Heading5"/>
        <w:rPr>
          <w:lang w:val="en-CA"/>
        </w:rPr>
      </w:pPr>
    </w:p>
    <w:p w:rsidR="00ED0E89" w:rsidRDefault="00D97B1A" w:rsidP="00ED0E89">
      <w:pPr>
        <w:pStyle w:val="Heading5"/>
        <w:rPr>
          <w:lang w:val="en-CA"/>
        </w:rPr>
      </w:pPr>
      <w:r>
        <w:rPr>
          <w:lang w:val="en-CA"/>
        </w:rPr>
        <w:t>Chart </w:t>
      </w:r>
      <w:r w:rsidR="00ED0E89">
        <w:rPr>
          <w:lang w:val="en-CA"/>
        </w:rPr>
        <w:t>10</w:t>
      </w:r>
    </w:p>
    <w:p w:rsidR="00ED0E89" w:rsidRPr="00C10941" w:rsidRDefault="00ED0E89" w:rsidP="00ED0E89">
      <w:pPr>
        <w:pStyle w:val="Heading5"/>
        <w:rPr>
          <w:lang w:val="en-US"/>
        </w:rPr>
      </w:pPr>
      <w:r w:rsidRPr="00223137">
        <w:rPr>
          <w:lang w:val="en-CA"/>
        </w:rPr>
        <w:t xml:space="preserve">On average how many weeks in a row do you </w:t>
      </w:r>
      <w:r w:rsidRPr="00F35D45">
        <w:rPr>
          <w:lang w:val="en-CA"/>
        </w:rPr>
        <w:t>cru</w:t>
      </w:r>
      <w:r w:rsidR="00C10941" w:rsidRPr="00F35D45">
        <w:rPr>
          <w:lang w:val="en-CA"/>
        </w:rPr>
        <w:t>nch? (2004 – 2009 – 2014)</w:t>
      </w:r>
      <w:r w:rsidR="00F35D45">
        <w:rPr>
          <w:lang w:val="en-CA"/>
        </w:rPr>
        <w:t xml:space="preserve"> </w:t>
      </w:r>
    </w:p>
    <w:p w:rsidR="00ED0E89" w:rsidRPr="00223137" w:rsidRDefault="00335BFF" w:rsidP="00ED0E89">
      <w:pPr>
        <w:pStyle w:val="figure"/>
      </w:pPr>
      <w:r>
        <w:rPr>
          <w:noProof/>
          <w:lang w:val="en-CA" w:eastAsia="en-CA"/>
        </w:rPr>
        <w:drawing>
          <wp:inline distT="0" distB="0" distL="0" distR="0" wp14:anchorId="066BC877" wp14:editId="6FF62E28">
            <wp:extent cx="5332095" cy="2644775"/>
            <wp:effectExtent l="0" t="0" r="20955" b="22225"/>
            <wp:docPr id="10" name="Graphique 6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4A95" w:rsidRDefault="00784A95" w:rsidP="00763264">
      <w:pPr>
        <w:pStyle w:val="p"/>
      </w:pPr>
    </w:p>
    <w:p w:rsidR="00784A95" w:rsidRDefault="00D97B1A" w:rsidP="00EA13AA">
      <w:pPr>
        <w:pStyle w:val="p"/>
        <w:rPr>
          <w:rFonts w:ascii="Calibri" w:hAnsi="Calibri"/>
          <w:b/>
          <w:sz w:val="20"/>
        </w:rPr>
      </w:pPr>
      <w:r>
        <w:lastRenderedPageBreak/>
        <w:t>Chart </w:t>
      </w:r>
      <w:r w:rsidR="00EA13AA">
        <w:t xml:space="preserve">11 similarly </w:t>
      </w:r>
      <w:r w:rsidR="00ED0E89" w:rsidRPr="00ED0E89">
        <w:t xml:space="preserve">illustrates the downward trend in the number of weeks in a row developers can be asked to crunch, taking advantage of the more detailed data collected since 2009. </w:t>
      </w:r>
    </w:p>
    <w:p w:rsidR="00ED0E89" w:rsidRDefault="00D97B1A" w:rsidP="00ED0E89">
      <w:pPr>
        <w:pStyle w:val="Heading5"/>
        <w:rPr>
          <w:lang w:val="en-CA"/>
        </w:rPr>
      </w:pPr>
      <w:r>
        <w:rPr>
          <w:lang w:val="en-CA"/>
        </w:rPr>
        <w:t>Chart </w:t>
      </w:r>
      <w:r w:rsidR="00ED0E89">
        <w:rPr>
          <w:lang w:val="en-CA"/>
        </w:rPr>
        <w:t>11</w:t>
      </w:r>
    </w:p>
    <w:p w:rsidR="00ED0E89" w:rsidRPr="00B80460" w:rsidRDefault="00ED0E89" w:rsidP="00ED0E89">
      <w:pPr>
        <w:pStyle w:val="Heading5"/>
      </w:pPr>
      <w:r w:rsidRPr="00B80460">
        <w:rPr>
          <w:lang w:val="en-CA"/>
        </w:rPr>
        <w:t xml:space="preserve">On average how many weeks in a row do you </w:t>
      </w:r>
      <w:r w:rsidRPr="00F35D45">
        <w:rPr>
          <w:lang w:val="en-CA"/>
        </w:rPr>
        <w:t>crunch?</w:t>
      </w:r>
      <w:r w:rsidR="00C10941" w:rsidRPr="00F35D45">
        <w:rPr>
          <w:lang w:val="en-CA"/>
        </w:rPr>
        <w:t xml:space="preserve"> (2009 – 2014)</w:t>
      </w:r>
    </w:p>
    <w:p w:rsidR="00ED0E89" w:rsidRPr="00955573" w:rsidRDefault="00335BFF" w:rsidP="00ED0E89">
      <w:pPr>
        <w:pStyle w:val="figure"/>
      </w:pPr>
      <w:r>
        <w:rPr>
          <w:noProof/>
          <w:lang w:val="en-CA" w:eastAsia="en-CA"/>
        </w:rPr>
        <w:drawing>
          <wp:inline distT="0" distB="0" distL="0" distR="0" wp14:anchorId="5255A5D2" wp14:editId="3AC75BB5">
            <wp:extent cx="5335622" cy="2568102"/>
            <wp:effectExtent l="0" t="0" r="17780" b="22860"/>
            <wp:docPr id="11" name="Graphique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D0E89" w:rsidRPr="00223137" w:rsidRDefault="00ED0E89" w:rsidP="00763264">
      <w:pPr>
        <w:pStyle w:val="p"/>
      </w:pPr>
      <w:bookmarkStart w:id="31" w:name="_Toc408662188"/>
      <w:bookmarkStart w:id="32" w:name="_Toc402533272"/>
      <w:bookmarkStart w:id="33" w:name="_Toc402533270"/>
    </w:p>
    <w:p w:rsidR="00ED0E89" w:rsidRPr="00EA0FF7" w:rsidRDefault="00ED0E89" w:rsidP="00ED0E89">
      <w:pPr>
        <w:pStyle w:val="Heading2"/>
        <w:rPr>
          <w:lang w:val="en-CA"/>
        </w:rPr>
      </w:pPr>
      <w:bookmarkStart w:id="34" w:name="_Toc428799772"/>
      <w:r w:rsidRPr="00EA0FF7">
        <w:rPr>
          <w:lang w:val="en-CA"/>
        </w:rPr>
        <w:t>The l</w:t>
      </w:r>
      <w:r>
        <w:rPr>
          <w:lang w:val="en-CA"/>
        </w:rPr>
        <w:t>egal framework</w:t>
      </w:r>
      <w:bookmarkEnd w:id="31"/>
      <w:bookmarkEnd w:id="34"/>
    </w:p>
    <w:p w:rsidR="00ED0E89" w:rsidRPr="001F2B83" w:rsidRDefault="00ED0E89" w:rsidP="00763264">
      <w:pPr>
        <w:pStyle w:val="p"/>
      </w:pPr>
      <w:r w:rsidRPr="00ED0E89">
        <w:t xml:space="preserve">The term </w:t>
      </w:r>
      <w:r w:rsidRPr="00ED0E89">
        <w:rPr>
          <w:i/>
        </w:rPr>
        <w:t>crunch</w:t>
      </w:r>
      <w:r w:rsidRPr="00ED0E89">
        <w:t xml:space="preserve"> may be purposefully used to avoid any association with the industrial and bureaucratic notion of </w:t>
      </w:r>
      <w:r w:rsidRPr="00ED0E89">
        <w:rPr>
          <w:i/>
        </w:rPr>
        <w:t>overtime</w:t>
      </w:r>
      <w:r w:rsidRPr="00ED0E89">
        <w:t xml:space="preserve"> which is common among hourly wage earners. While legal frameworks in </w:t>
      </w:r>
      <w:r w:rsidR="00EA13AA">
        <w:t>countries of the Northern</w:t>
      </w:r>
      <w:r w:rsidRPr="00ED0E89">
        <w:t>-Western world usually provide an obligation to pay salaried workers at a premium rate beyond the normal weekly hours, they usually exclude some higher categories of workers from these provisions. The definition of these categories varies, often excluding managers</w:t>
      </w:r>
      <w:r w:rsidR="00EA13AA">
        <w:t xml:space="preserve"> and executives, sometimes high-</w:t>
      </w:r>
      <w:r w:rsidRPr="00ED0E89">
        <w:t xml:space="preserve">technology workers, </w:t>
      </w:r>
      <w:r w:rsidRPr="001F2B83">
        <w:t xml:space="preserve">sometimes professionals. </w:t>
      </w:r>
      <w:r w:rsidR="00E06127" w:rsidRPr="001F2B83">
        <w:t xml:space="preserve">Provisions vary as well. </w:t>
      </w:r>
    </w:p>
    <w:p w:rsidR="00E06127" w:rsidRPr="001F2B83" w:rsidRDefault="00E06127" w:rsidP="00E06127">
      <w:pPr>
        <w:pStyle w:val="Heading3"/>
        <w:rPr>
          <w:lang w:val="en-CA"/>
        </w:rPr>
      </w:pPr>
      <w:bookmarkStart w:id="35" w:name="_Toc428799773"/>
      <w:r w:rsidRPr="001F2B83">
        <w:rPr>
          <w:lang w:val="en-CA"/>
        </w:rPr>
        <w:t>US legislation on overtime</w:t>
      </w:r>
      <w:bookmarkEnd w:id="35"/>
    </w:p>
    <w:p w:rsidR="008E1A28" w:rsidRPr="001F2B83" w:rsidRDefault="00EA13AA" w:rsidP="00763264">
      <w:pPr>
        <w:pStyle w:val="p"/>
      </w:pPr>
      <w:r>
        <w:t xml:space="preserve">The </w:t>
      </w:r>
      <w:r w:rsidR="008E1A28" w:rsidRPr="001F2B83">
        <w:t xml:space="preserve">US Federal Act on overtime payment contained in the </w:t>
      </w:r>
      <w:r w:rsidR="00ED0E89" w:rsidRPr="001F2B83">
        <w:t xml:space="preserve">US Fair Labor Standards Act </w:t>
      </w:r>
      <w:r w:rsidR="00E06127" w:rsidRPr="001F2B83">
        <w:t xml:space="preserve">(FLSA) </w:t>
      </w:r>
      <w:r w:rsidR="00ED0E89" w:rsidRPr="001F2B83">
        <w:t xml:space="preserve">sets the provisions for overtime pay; </w:t>
      </w:r>
      <w:r w:rsidR="008E1A28" w:rsidRPr="001F2B83">
        <w:t xml:space="preserve">any employee who works over 40 hours a week is entitled to receive 1.5 times the regular wage rate. The employer is not required to pay overtime for work on holidays, days of rest, or on weekends unless the hours worked on those would regularly qualify as overtime. </w:t>
      </w:r>
      <w:proofErr w:type="gramStart"/>
      <w:r w:rsidR="008E1A28" w:rsidRPr="001F2B83">
        <w:t>Hours averaging is</w:t>
      </w:r>
      <w:proofErr w:type="gramEnd"/>
      <w:r w:rsidR="008E1A28" w:rsidRPr="001F2B83">
        <w:t xml:space="preserve"> not allowed over two or more weeks (US Department of Labor, </w:t>
      </w:r>
      <w:proofErr w:type="spellStart"/>
      <w:r w:rsidR="008E1A28" w:rsidRPr="001F2B83">
        <w:t>nd</w:t>
      </w:r>
      <w:proofErr w:type="spellEnd"/>
      <w:r w:rsidR="008E1A28" w:rsidRPr="001F2B83">
        <w:t>).</w:t>
      </w:r>
    </w:p>
    <w:p w:rsidR="00E06127" w:rsidRPr="001F2B83" w:rsidRDefault="008E1A28" w:rsidP="00763264">
      <w:pPr>
        <w:pStyle w:val="p"/>
      </w:pPr>
      <w:r w:rsidRPr="001F2B83">
        <w:t>However, the law</w:t>
      </w:r>
      <w:r w:rsidR="00EA13AA">
        <w:t xml:space="preserve"> sets a </w:t>
      </w:r>
      <w:r w:rsidR="00EA13AA" w:rsidRPr="00F35D45">
        <w:t>yearly in</w:t>
      </w:r>
      <w:r w:rsidR="00ED0E89" w:rsidRPr="00F35D45">
        <w:t>come threshold</w:t>
      </w:r>
      <w:r w:rsidR="00ED0E89" w:rsidRPr="001F2B83">
        <w:t xml:space="preserve"> over which private sector employees do not qualify for time-and-a-half pay if they work more than 40 </w:t>
      </w:r>
      <w:r w:rsidR="00EA13AA">
        <w:t>hours per week. That threshold wa</w:t>
      </w:r>
      <w:r w:rsidR="00ED0E89" w:rsidRPr="001F2B83">
        <w:t xml:space="preserve">s </w:t>
      </w:r>
      <w:r w:rsidR="00EA13AA">
        <w:t>$23,660 US </w:t>
      </w:r>
      <w:r w:rsidR="00ED0E89" w:rsidRPr="001F2B83">
        <w:t>per year</w:t>
      </w:r>
      <w:r w:rsidR="00E06127" w:rsidRPr="001F2B83">
        <w:t xml:space="preserve"> in 2014</w:t>
      </w:r>
      <w:r w:rsidRPr="001F2B83">
        <w:t xml:space="preserve">, which means $455.00 USD per week or an hourly wage rate </w:t>
      </w:r>
      <w:r w:rsidRPr="001F2B83">
        <w:lastRenderedPageBreak/>
        <w:t>of $27.63 USD</w:t>
      </w:r>
      <w:r w:rsidR="00ED0E89" w:rsidRPr="001F2B83">
        <w:t xml:space="preserve">. </w:t>
      </w:r>
      <w:r w:rsidRPr="001F2B83">
        <w:t>Many skilled computer professionals are exempt from overtime pay, not only for being paid at or above these rates, but explicitly</w:t>
      </w:r>
      <w:r w:rsidR="00E06127" w:rsidRPr="001F2B83">
        <w:rPr>
          <w:rFonts w:cs="Tahoma"/>
          <w:color w:val="000000"/>
        </w:rPr>
        <w:t xml:space="preserve">: </w:t>
      </w:r>
    </w:p>
    <w:p w:rsidR="00E06127" w:rsidRPr="001F2B83" w:rsidRDefault="00981EC0" w:rsidP="00E06127">
      <w:pPr>
        <w:pStyle w:val="c1"/>
        <w:rPr>
          <w:lang w:val="en-CA"/>
        </w:rPr>
      </w:pPr>
      <w:r w:rsidRPr="001F2B83">
        <w:rPr>
          <w:lang w:val="en-CA"/>
        </w:rPr>
        <w:t xml:space="preserve">[The skilled computer professionals] </w:t>
      </w:r>
      <w:r w:rsidR="00E06127" w:rsidRPr="001F2B83">
        <w:rPr>
          <w:lang w:val="en-CA"/>
        </w:rPr>
        <w:t>must be employed as a computer systems analyst, computer programmer, software engineer or other similarly skilled worker in the computer field performing the duties described below…</w:t>
      </w:r>
    </w:p>
    <w:p w:rsidR="00E06127" w:rsidRPr="001F2B83" w:rsidRDefault="00E06127" w:rsidP="00E06127">
      <w:pPr>
        <w:pStyle w:val="c1"/>
        <w:rPr>
          <w:lang w:val="en-CA"/>
        </w:rPr>
      </w:pPr>
      <w:r w:rsidRPr="001F2B83">
        <w:rPr>
          <w:lang w:val="en-CA"/>
        </w:rPr>
        <w:t>1) The application of systems analysis techniques and procedures, including consulting with users, to determine hardware, software or system functional specifications;</w:t>
      </w:r>
    </w:p>
    <w:p w:rsidR="00E06127" w:rsidRPr="001F2B83" w:rsidRDefault="00E06127" w:rsidP="00E06127">
      <w:pPr>
        <w:pStyle w:val="c1"/>
        <w:rPr>
          <w:lang w:val="en-CA"/>
        </w:rPr>
      </w:pPr>
      <w:r w:rsidRPr="001F2B83">
        <w:rPr>
          <w:lang w:val="en-CA"/>
        </w:rPr>
        <w:t>2) The design, development, documentation, analysis, creation, testing or modification of computer systems or programs, including prototypes, based on and related to user or system design specifications;</w:t>
      </w:r>
    </w:p>
    <w:p w:rsidR="00E06127" w:rsidRPr="001F2B83" w:rsidRDefault="00E06127" w:rsidP="00E06127">
      <w:pPr>
        <w:pStyle w:val="c1"/>
        <w:rPr>
          <w:lang w:val="en-CA"/>
        </w:rPr>
      </w:pPr>
      <w:r w:rsidRPr="001F2B83">
        <w:rPr>
          <w:lang w:val="en-CA"/>
        </w:rPr>
        <w:t>3) The design, documentation, testing, creation or modification of computer programs related to machine operating systems; or</w:t>
      </w:r>
    </w:p>
    <w:p w:rsidR="00E06127" w:rsidRPr="001F2B83" w:rsidRDefault="00E06127" w:rsidP="00E06127">
      <w:pPr>
        <w:pStyle w:val="c1"/>
        <w:rPr>
          <w:lang w:val="en-CA"/>
        </w:rPr>
      </w:pPr>
      <w:r w:rsidRPr="001F2B83">
        <w:rPr>
          <w:lang w:val="en-CA"/>
        </w:rPr>
        <w:t>4) A combination of the aforementioned duties, the performance of which requires the same level of skills. (US Department of Labor, 2008)</w:t>
      </w:r>
    </w:p>
    <w:p w:rsidR="00E06127" w:rsidRPr="001F2B83" w:rsidRDefault="00E06127" w:rsidP="00763264">
      <w:pPr>
        <w:pStyle w:val="p"/>
      </w:pPr>
      <w:r w:rsidRPr="001F2B83">
        <w:t>It is important to note that this exemption does not include workers whose work is only “highly dependent upon or facilitated by the use of computers and software programs…</w:t>
      </w:r>
      <w:r w:rsidR="00981EC0" w:rsidRPr="001F2B83">
        <w:t xml:space="preserve"> </w:t>
      </w:r>
      <w:r w:rsidRPr="001F2B83">
        <w:t xml:space="preserve">but who are not primarily engaged in computer systems analysis and programming…” </w:t>
      </w:r>
      <w:proofErr w:type="gramStart"/>
      <w:r w:rsidRPr="001F2B83">
        <w:t>(US Department of Labor, 2008)</w:t>
      </w:r>
      <w:r w:rsidR="00981EC0" w:rsidRPr="001F2B83">
        <w:t>.</w:t>
      </w:r>
      <w:proofErr w:type="gramEnd"/>
      <w:r w:rsidR="00981EC0" w:rsidRPr="001F2B83">
        <w:t xml:space="preserve"> </w:t>
      </w:r>
    </w:p>
    <w:p w:rsidR="00981EC0" w:rsidRPr="001F2B83" w:rsidRDefault="00E06127" w:rsidP="00763264">
      <w:pPr>
        <w:pStyle w:val="p"/>
      </w:pPr>
      <w:r w:rsidRPr="001F2B83">
        <w:t xml:space="preserve">Among US states with high concentrations of high-tech workers, most tend to follow the federal precedent for exemption criteria (e.g., New York and Texas). </w:t>
      </w:r>
      <w:r w:rsidR="00981EC0" w:rsidRPr="001F2B83">
        <w:t>California</w:t>
      </w:r>
      <w:r w:rsidRPr="001F2B83">
        <w:t xml:space="preserve"> has a more detailed set of laws dealing with computer workers. Under Section 515.5 of the California Labour Code, employees in the “computer software field” are classified as professional employees and thus exempted from the laws regulating hours and days of work (including overtime pay), minimum wages, meal periods and rest periods if their work meets certain criteria</w:t>
      </w:r>
      <w:r w:rsidR="00981EC0" w:rsidRPr="001F2B83">
        <w:t xml:space="preserve"> (Industrial Welfare Commission, 2002)</w:t>
      </w:r>
      <w:r w:rsidRPr="001F2B83">
        <w:t xml:space="preserve">. </w:t>
      </w:r>
      <w:r w:rsidR="00981EC0" w:rsidRPr="001F2B83">
        <w:t>One of the criteria</w:t>
      </w:r>
      <w:r w:rsidRPr="001F2B83">
        <w:t xml:space="preserve"> includes a list of primary duties that fit many of the jobs in the video game industry (e.g., design, development, documentation, analysis, creation, testing, or modification of computer systems or programs; documentation, testing, creation, or modification of computer programs related to the design of software or hardware for computer operating systems). </w:t>
      </w:r>
    </w:p>
    <w:p w:rsidR="00E06127" w:rsidRPr="001F2B83" w:rsidRDefault="00E06127" w:rsidP="00763264">
      <w:pPr>
        <w:pStyle w:val="p"/>
      </w:pPr>
      <w:r w:rsidRPr="001F2B83">
        <w:t>As well, under the Order for Professional, Technical, Clerical, Mechanical and Similar Occupations, specifically included in the definition of exempt professional and technical workers are: audio-visual technicians, communications and sound technicians, computer programmers and operators, and graphic arts technicians (Industrial Welfare Commission, 2002). A second criterion for overtime exemption for computer software employees (Section 515.5(a)(3)), updated as of January 1, 2015, is if the employee’s hourly pay is a minimum of $41.27 USD or their annual salary is not less than $85,981.40 for full-time employment (Division of Labour Standards Enforcement, 2015).</w:t>
      </w:r>
    </w:p>
    <w:p w:rsidR="00E06127" w:rsidRPr="00ED0E89" w:rsidRDefault="00981EC0" w:rsidP="00763264">
      <w:pPr>
        <w:pStyle w:val="p"/>
      </w:pPr>
      <w:bookmarkStart w:id="36" w:name="_Toc428799774"/>
      <w:r w:rsidRPr="001F2B83">
        <w:rPr>
          <w:rStyle w:val="Heading3Char"/>
        </w:rPr>
        <w:t>Quebec legislation</w:t>
      </w:r>
      <w:bookmarkEnd w:id="36"/>
      <w:r w:rsidRPr="001F2B83">
        <w:t xml:space="preserve"> </w:t>
      </w:r>
      <w:r w:rsidRPr="001F2B83">
        <w:rPr>
          <w:rStyle w:val="Heading3Char"/>
        </w:rPr>
        <w:t>on overtime</w:t>
      </w:r>
    </w:p>
    <w:p w:rsidR="00ED0E89" w:rsidRPr="00ED0E89" w:rsidRDefault="00ED0E89" w:rsidP="00763264">
      <w:pPr>
        <w:pStyle w:val="p"/>
      </w:pPr>
      <w:r w:rsidRPr="00ED0E89">
        <w:lastRenderedPageBreak/>
        <w:t xml:space="preserve">It is common practice in project-based organisations not to pay overtime work at </w:t>
      </w:r>
      <w:r w:rsidR="00EA13AA">
        <w:t xml:space="preserve">a </w:t>
      </w:r>
      <w:r w:rsidRPr="00ED0E89">
        <w:t xml:space="preserve">premium rate, and not even to pay at the regular rate as well (Campbell, 2002, 2003; Hart &amp; Ma, 2008; </w:t>
      </w:r>
      <w:proofErr w:type="spellStart"/>
      <w:r w:rsidRPr="00ED0E89">
        <w:t>Mizunoya</w:t>
      </w:r>
      <w:proofErr w:type="spellEnd"/>
      <w:r w:rsidRPr="00ED0E89">
        <w:t xml:space="preserve">, 2002). </w:t>
      </w:r>
    </w:p>
    <w:p w:rsidR="00ED0E89" w:rsidRPr="00ED0E89" w:rsidRDefault="00ED0E89" w:rsidP="00763264">
      <w:pPr>
        <w:pStyle w:val="p"/>
      </w:pPr>
      <w:r w:rsidRPr="00ED0E89">
        <w:t>In Quebec, the legislative provisions clearly state that an employer who explicitly asks an employee to work overtime must pay for the overtime hours (under the Act respecting labour standards (ARLS, chapter N-1.1, sec. 52-55)</w:t>
      </w:r>
      <w:r w:rsidR="00EA13AA">
        <w:t>).</w:t>
      </w:r>
      <w:r w:rsidRPr="00ED0E89">
        <w:t xml:space="preserve"> </w:t>
      </w:r>
      <w:r w:rsidR="00EA13AA" w:rsidRPr="00ED0E89">
        <w:t>Conversely, if the employer does not want to pay for the overtime, the</w:t>
      </w:r>
      <w:r w:rsidR="00C10941">
        <w:t>y cannot ask, much less require</w:t>
      </w:r>
      <w:r w:rsidR="00EA13AA" w:rsidRPr="00ED0E89">
        <w:t xml:space="preserve"> an employee to work it. </w:t>
      </w:r>
      <w:r w:rsidR="00EA13AA">
        <w:t>Y</w:t>
      </w:r>
      <w:r w:rsidRPr="00ED0E89">
        <w:t xml:space="preserve">et, </w:t>
      </w:r>
      <w:r w:rsidR="00EA13AA">
        <w:t xml:space="preserve">game </w:t>
      </w:r>
      <w:r w:rsidRPr="00ED0E89">
        <w:t xml:space="preserve">studios don’t compensate crunch time with a premium added to hourly wages. </w:t>
      </w:r>
      <w:r w:rsidR="00EA13AA">
        <w:t xml:space="preserve">Instead, </w:t>
      </w:r>
      <w:r w:rsidRPr="00ED0E89">
        <w:t xml:space="preserve">the existence of overtime is more or less covered up by the industry; indeed, the cover-up starts with the use of the term ‘crunch time’ rather than ‘overtime’. </w:t>
      </w:r>
    </w:p>
    <w:p w:rsidR="00ED0E89" w:rsidRDefault="00ED0E89" w:rsidP="00763264">
      <w:pPr>
        <w:pStyle w:val="p"/>
      </w:pPr>
      <w:r w:rsidRPr="00ED0E89">
        <w:t xml:space="preserve">The ARLS in Quebec excludes certain employees from its benefits, including senior managers [ARLS, sec. 3(6)] and other managers who are not subject to the provisions regarding payment of overtime [ALS, sec. 54(3)]. </w:t>
      </w:r>
      <w:r w:rsidR="005D5FB5">
        <w:t>G</w:t>
      </w:r>
      <w:r w:rsidRPr="000B1C6A">
        <w:t>ame developers could be included in the definition of employees covered by the Act.</w:t>
      </w:r>
    </w:p>
    <w:p w:rsidR="00AC08A7" w:rsidRPr="00F35D45" w:rsidRDefault="00AC08A7" w:rsidP="00AC08A7">
      <w:pPr>
        <w:pStyle w:val="p"/>
      </w:pPr>
      <w:r w:rsidRPr="00F35D45">
        <w:t xml:space="preserve">The story of overtime then continues with the fact that developers are never actually compelled to put in overtime (it is often different for game testers, who are paid according to an hourly rate and are often compensated for overtime in Canada). Project managers explain what needs to be done for the project, raise the possibility or suggest to employees that overtime might be a good idea, and the developers decide to stay at work, </w:t>
      </w:r>
      <w:r w:rsidRPr="00F35D45">
        <w:rPr>
          <w:i/>
        </w:rPr>
        <w:t>on their own initiative</w:t>
      </w:r>
      <w:r w:rsidRPr="00F35D45">
        <w:t xml:space="preserve">. Sometimes managers mention two possible forms of compensation, bonuses and time off in lieu. In studios it is often the case that no records are kept of overtime hours because any accounting of those hours would then be equivalent to admitting that overtime exists. It could then be challenged as a violation of the labour standards laws if it is not paid at a premium rate. According to past interviews, some studios go one step further and ask developers to sign some formal time sheets declaring </w:t>
      </w:r>
      <w:r w:rsidRPr="00F35D45">
        <w:rPr>
          <w:i/>
        </w:rPr>
        <w:t>normal</w:t>
      </w:r>
      <w:r w:rsidRPr="00F35D45">
        <w:t xml:space="preserve"> hours, regardless of the real number of hours worked</w:t>
      </w:r>
      <w:r w:rsidR="00213B42" w:rsidRPr="00F35D45">
        <w:t xml:space="preserve"> (Legault &amp; Ouellet, 2012)</w:t>
      </w:r>
      <w:r w:rsidRPr="00F35D45">
        <w:t>.</w:t>
      </w:r>
    </w:p>
    <w:p w:rsidR="00ED0E89" w:rsidRPr="00ED0E89" w:rsidRDefault="00ED0E89" w:rsidP="00763264">
      <w:pPr>
        <w:pStyle w:val="p"/>
      </w:pPr>
      <w:r w:rsidRPr="00ED0E89">
        <w:t>Another exception to the application of overtime compensation is based on case law in Quebec and rules out the claims to overtime pay by employees who, though not holding any management role, are hired under contracts providing yearly compensation rates. Two recent decisions have dismissed the complaints of airline pilots’</w:t>
      </w:r>
      <w:r w:rsidRPr="001F4AF8">
        <w:rPr>
          <w:rStyle w:val="FootnoteReference"/>
        </w:rPr>
        <w:footnoteReference w:id="1"/>
      </w:r>
      <w:r w:rsidRPr="00ED0E89">
        <w:t xml:space="preserve"> and software designers’</w:t>
      </w:r>
      <w:r w:rsidRPr="001F4AF8">
        <w:rPr>
          <w:rStyle w:val="FootnoteReference"/>
        </w:rPr>
        <w:footnoteReference w:id="2"/>
      </w:r>
      <w:r w:rsidRPr="00ED0E89">
        <w:t xml:space="preserve"> to this effect. These decisions assert that an agreed hourly rate is required for an employee to claim overtime pay based on the Act. However, these are decisions made by lower level courts and we must bear in mind that such a case law trend could be reversed. </w:t>
      </w:r>
    </w:p>
    <w:p w:rsidR="00ED0E89" w:rsidRDefault="00ED0E89" w:rsidP="00A04FCB">
      <w:pPr>
        <w:pStyle w:val="p0"/>
      </w:pPr>
      <w:r w:rsidRPr="00244233">
        <w:lastRenderedPageBreak/>
        <w:t>To this end, an employee cannot simply make an hourly rate up by dividing a yearly rate by a certain amount of regular hours; the hourly rate must have been agreed on</w:t>
      </w:r>
      <w:r w:rsidRPr="00762C28">
        <w:t>. Some respondents in Toronto seem to be aware of this trend</w:t>
      </w:r>
      <w:r w:rsidRPr="00430295">
        <w:t>.</w:t>
      </w:r>
    </w:p>
    <w:p w:rsidR="005D5FB5" w:rsidRDefault="005D5FB5" w:rsidP="005D5FB5">
      <w:pPr>
        <w:pStyle w:val="e1"/>
        <w:rPr>
          <w:lang w:eastAsia="en-US"/>
        </w:rPr>
      </w:pPr>
    </w:p>
    <w:tbl>
      <w:tblPr>
        <w:tblStyle w:val="TableGrid"/>
        <w:tblW w:w="0" w:type="auto"/>
        <w:tblInd w:w="1276" w:type="dxa"/>
        <w:tblLook w:val="04A0" w:firstRow="1" w:lastRow="0" w:firstColumn="1" w:lastColumn="0" w:noHBand="0" w:noVBand="1"/>
      </w:tblPr>
      <w:tblGrid>
        <w:gridCol w:w="7342"/>
      </w:tblGrid>
      <w:tr w:rsidR="005D5FB5" w:rsidTr="005D5FB5">
        <w:tc>
          <w:tcPr>
            <w:tcW w:w="8618" w:type="dxa"/>
          </w:tcPr>
          <w:p w:rsidR="005D5FB5" w:rsidRPr="005D5FB5" w:rsidRDefault="005D5FB5" w:rsidP="00C10941">
            <w:pPr>
              <w:pStyle w:val="c1"/>
              <w:ind w:left="0"/>
              <w:rPr>
                <w:lang w:val="en-CA"/>
              </w:rPr>
            </w:pPr>
            <w:r w:rsidRPr="00ED0E89">
              <w:rPr>
                <w:lang w:val="en-CA"/>
              </w:rPr>
              <w:t xml:space="preserve">There was no crunch at [studio]. No, because we were paid hourly. </w:t>
            </w:r>
            <w:r>
              <w:rPr>
                <w:lang w:val="en-CA"/>
              </w:rPr>
              <w:t>(M-01-18-T-C-17-01-14-05-13-JT)</w:t>
            </w:r>
          </w:p>
        </w:tc>
      </w:tr>
    </w:tbl>
    <w:p w:rsidR="005D5FB5" w:rsidRPr="005D5FB5" w:rsidRDefault="005D5FB5" w:rsidP="005D5FB5">
      <w:pPr>
        <w:pStyle w:val="e1"/>
        <w:rPr>
          <w:lang w:eastAsia="en-US"/>
        </w:rPr>
      </w:pPr>
    </w:p>
    <w:p w:rsidR="005D5FB5" w:rsidRPr="00ED0E89" w:rsidRDefault="005D5FB5" w:rsidP="005D5FB5">
      <w:pPr>
        <w:pStyle w:val="p"/>
      </w:pPr>
      <w:bookmarkStart w:id="37" w:name="_Toc428799775"/>
      <w:r>
        <w:rPr>
          <w:rStyle w:val="Heading3Char"/>
        </w:rPr>
        <w:t>British Columbia</w:t>
      </w:r>
      <w:r w:rsidRPr="001F2B83">
        <w:rPr>
          <w:rStyle w:val="Heading3Char"/>
        </w:rPr>
        <w:t xml:space="preserve"> legislation</w:t>
      </w:r>
      <w:bookmarkEnd w:id="37"/>
      <w:r w:rsidRPr="001F2B83">
        <w:t xml:space="preserve"> </w:t>
      </w:r>
      <w:r w:rsidRPr="001F2B83">
        <w:rPr>
          <w:rStyle w:val="Heading3Char"/>
        </w:rPr>
        <w:t>on overtime</w:t>
      </w:r>
    </w:p>
    <w:p w:rsidR="00ED0E89" w:rsidRPr="00ED0E89" w:rsidRDefault="00ED0E89" w:rsidP="00763264">
      <w:pPr>
        <w:pStyle w:val="p"/>
      </w:pPr>
      <w:r w:rsidRPr="00ED0E89">
        <w:t>The province of British Columbia clearly states in its Employment Standards Regulation that the hours of work provisions of the Act, including those governing meal breaks, split shifts, minimum daily pay and hours free from work each week, as well as the overtime and statutory holiday provisions, do not apply to “high technology professionals” (including video game developers). To meet the need for flexibility in the workplace, the Act allows employers and employees to enter into “averaging agreements” - agreements that permit hours of work to be averaged over one, two, three or four weeks.</w:t>
      </w:r>
    </w:p>
    <w:p w:rsidR="00981EC0" w:rsidRPr="00784A95" w:rsidRDefault="00981EC0" w:rsidP="00981EC0">
      <w:pPr>
        <w:pStyle w:val="Heading3"/>
        <w:rPr>
          <w:lang w:val="en-CA"/>
        </w:rPr>
      </w:pPr>
      <w:bookmarkStart w:id="38" w:name="_Toc428799776"/>
      <w:bookmarkStart w:id="39" w:name="_Toc408662189"/>
      <w:r w:rsidRPr="00784A95">
        <w:rPr>
          <w:lang w:val="en-CA"/>
        </w:rPr>
        <w:t>Ontario legislation on overtime</w:t>
      </w:r>
      <w:bookmarkEnd w:id="38"/>
    </w:p>
    <w:p w:rsidR="005D5FB5" w:rsidRPr="005D5FB5" w:rsidRDefault="00981EC0" w:rsidP="003110C6">
      <w:pPr>
        <w:pStyle w:val="p0"/>
      </w:pPr>
      <w:r w:rsidRPr="001F2B83">
        <w:t>According to Section VIII of the</w:t>
      </w:r>
      <w:r w:rsidR="00763264" w:rsidRPr="001F2B83">
        <w:t xml:space="preserve"> Employment Standards Act (ESA)</w:t>
      </w:r>
      <w:r w:rsidRPr="001F2B83">
        <w:t xml:space="preserve"> </w:t>
      </w:r>
      <w:r w:rsidR="003110C6">
        <w:t xml:space="preserve">(ESA, </w:t>
      </w:r>
      <w:r w:rsidRPr="001F2B83">
        <w:t>2000</w:t>
      </w:r>
      <w:r w:rsidR="003110C6">
        <w:t>)</w:t>
      </w:r>
      <w:r w:rsidR="00763264" w:rsidRPr="001F2B83">
        <w:t>,</w:t>
      </w:r>
      <w:r w:rsidRPr="001F2B83">
        <w:t xml:space="preserve"> in the province of Ontario</w:t>
      </w:r>
      <w:r w:rsidR="00763264" w:rsidRPr="001F2B83">
        <w:t>,</w:t>
      </w:r>
      <w:r w:rsidRPr="001F2B83">
        <w:t xml:space="preserve"> employees are eligible for overtime pay at the rate of 1.5 times the regular wage rate if they work more than 44 hours a week and this overtime is calculated over a week or longer period which allows for averaging of hours. However, under Ontario Regulation 285/01, s. 8(l) “information technology professionals” are exempt from those rules and not entitled to overtime pay. Information technology professionals are also not covered by Section VII of the Act which pertains to hours of work and eating periods:</w:t>
      </w:r>
    </w:p>
    <w:p w:rsidR="00981EC0" w:rsidRPr="001F2B83" w:rsidRDefault="00981EC0" w:rsidP="00763264">
      <w:pPr>
        <w:pStyle w:val="e1"/>
      </w:pPr>
      <w:r w:rsidRPr="001F2B83">
        <w:t>-</w:t>
      </w:r>
      <w:r w:rsidRPr="001F2B83">
        <w:tab/>
      </w:r>
      <w:proofErr w:type="gramStart"/>
      <w:r w:rsidRPr="001F2B83">
        <w:t>the</w:t>
      </w:r>
      <w:proofErr w:type="gramEnd"/>
      <w:r w:rsidRPr="001F2B83">
        <w:t xml:space="preserve"> daily and weekly limits on hours of work (8 and 48 hours, respectively under the Act);</w:t>
      </w:r>
    </w:p>
    <w:p w:rsidR="00981EC0" w:rsidRPr="001F2B83" w:rsidRDefault="00981EC0" w:rsidP="00763264">
      <w:pPr>
        <w:pStyle w:val="e1"/>
      </w:pPr>
      <w:r w:rsidRPr="001F2B83">
        <w:t>-</w:t>
      </w:r>
      <w:r w:rsidRPr="001F2B83">
        <w:tab/>
      </w:r>
      <w:proofErr w:type="gramStart"/>
      <w:r w:rsidRPr="001F2B83">
        <w:t>the</w:t>
      </w:r>
      <w:proofErr w:type="gramEnd"/>
      <w:r w:rsidRPr="001F2B83">
        <w:t xml:space="preserve"> daily rest period rule (generally 11 consecutive hours off work);</w:t>
      </w:r>
    </w:p>
    <w:p w:rsidR="00981EC0" w:rsidRPr="001F2B83" w:rsidRDefault="00981EC0" w:rsidP="00763264">
      <w:pPr>
        <w:pStyle w:val="e1"/>
      </w:pPr>
      <w:r w:rsidRPr="001F2B83">
        <w:t>-</w:t>
      </w:r>
      <w:r w:rsidRPr="001F2B83">
        <w:tab/>
      </w:r>
      <w:proofErr w:type="gramStart"/>
      <w:r w:rsidRPr="001F2B83">
        <w:t>the</w:t>
      </w:r>
      <w:proofErr w:type="gramEnd"/>
      <w:r w:rsidRPr="001F2B83">
        <w:t xml:space="preserve"> time off between shifts rule (8 hours with some exceptions);</w:t>
      </w:r>
    </w:p>
    <w:p w:rsidR="00981EC0" w:rsidRPr="001F2B83" w:rsidRDefault="00981EC0" w:rsidP="00763264">
      <w:pPr>
        <w:pStyle w:val="e1"/>
      </w:pPr>
      <w:r w:rsidRPr="001F2B83">
        <w:t>-</w:t>
      </w:r>
      <w:r w:rsidRPr="001F2B83">
        <w:tab/>
      </w:r>
      <w:proofErr w:type="gramStart"/>
      <w:r w:rsidRPr="001F2B83">
        <w:t>the</w:t>
      </w:r>
      <w:proofErr w:type="gramEnd"/>
      <w:r w:rsidRPr="001F2B83">
        <w:t xml:space="preserve"> weekly/bi-weekly rest period rule (24 consecutive hours off work in each week or 48 consecutive hours off work in every period of two consecutive work weeks);</w:t>
      </w:r>
    </w:p>
    <w:p w:rsidR="00981EC0" w:rsidRPr="001F2B83" w:rsidRDefault="00981EC0" w:rsidP="00981EC0">
      <w:pPr>
        <w:pStyle w:val="e10"/>
        <w:rPr>
          <w:lang w:val="en-CA"/>
        </w:rPr>
      </w:pPr>
      <w:r w:rsidRPr="001F2B83">
        <w:rPr>
          <w:lang w:val="en-CA"/>
        </w:rPr>
        <w:t>-</w:t>
      </w:r>
      <w:r w:rsidRPr="001F2B83">
        <w:rPr>
          <w:lang w:val="en-CA"/>
        </w:rPr>
        <w:tab/>
        <w:t>and they are also not entitled to an eating period (30 minutes free from work required aft</w:t>
      </w:r>
      <w:r w:rsidR="00C575D9" w:rsidRPr="001F2B83">
        <w:rPr>
          <w:lang w:val="en-CA"/>
        </w:rPr>
        <w:t>er working 5 hours in a row) (Ontario Regulation</w:t>
      </w:r>
      <w:r w:rsidRPr="001F2B83">
        <w:rPr>
          <w:lang w:val="en-CA"/>
        </w:rPr>
        <w:t xml:space="preserve"> 285/01, s. 4(3)(b)</w:t>
      </w:r>
      <w:r w:rsidR="00763264" w:rsidRPr="001F2B83">
        <w:rPr>
          <w:lang w:val="en-CA"/>
        </w:rPr>
        <w:t>).</w:t>
      </w:r>
    </w:p>
    <w:p w:rsidR="00981EC0" w:rsidRPr="001F2B83" w:rsidRDefault="00981EC0" w:rsidP="00763264">
      <w:pPr>
        <w:pStyle w:val="p"/>
        <w:rPr>
          <w:shd w:val="clear" w:color="auto" w:fill="FFFFFF"/>
        </w:rPr>
      </w:pPr>
      <w:r w:rsidRPr="001F2B83">
        <w:t xml:space="preserve">In addition to “information technology professionals”, persons employed in the </w:t>
      </w:r>
      <w:r w:rsidRPr="001F2B83">
        <w:rPr>
          <w:shd w:val="clear" w:color="auto" w:fill="FFFFFF"/>
        </w:rPr>
        <w:t>recorded visual and audio-visual entertainment production industry are also exempt fro</w:t>
      </w:r>
      <w:r w:rsidR="00C575D9" w:rsidRPr="001F2B83">
        <w:rPr>
          <w:shd w:val="clear" w:color="auto" w:fill="FFFFFF"/>
        </w:rPr>
        <w:t>m the Section VII of the Act (Ontario Regulation 285/01, s. 4 (3); Ontario</w:t>
      </w:r>
      <w:r w:rsidRPr="001F2B83">
        <w:rPr>
          <w:shd w:val="clear" w:color="auto" w:fill="FFFFFF"/>
        </w:rPr>
        <w:t> Reg</w:t>
      </w:r>
      <w:r w:rsidR="00C575D9" w:rsidRPr="001F2B83">
        <w:rPr>
          <w:shd w:val="clear" w:color="auto" w:fill="FFFFFF"/>
        </w:rPr>
        <w:t>ulation</w:t>
      </w:r>
      <w:r w:rsidRPr="001F2B83">
        <w:rPr>
          <w:shd w:val="clear" w:color="auto" w:fill="FFFFFF"/>
        </w:rPr>
        <w:t xml:space="preserve"> 552/05, s. 2), but they are covered by the overtime pay legislation.</w:t>
      </w:r>
    </w:p>
    <w:p w:rsidR="000B1C6A" w:rsidRPr="001F2B83" w:rsidRDefault="00981EC0" w:rsidP="00763264">
      <w:pPr>
        <w:pStyle w:val="p"/>
        <w:rPr>
          <w:shd w:val="clear" w:color="auto" w:fill="FFFFFF"/>
        </w:rPr>
      </w:pPr>
      <w:r w:rsidRPr="001F2B83">
        <w:rPr>
          <w:shd w:val="clear" w:color="auto" w:fill="FFFFFF"/>
        </w:rPr>
        <w:t xml:space="preserve">The Act clearly stipulates that “the industry of producing…video games” is excluded from the definition of the recorded visual and audio-visual entertainment production industry. </w:t>
      </w:r>
      <w:r w:rsidRPr="001F2B83">
        <w:rPr>
          <w:shd w:val="clear" w:color="auto" w:fill="FFFFFF"/>
        </w:rPr>
        <w:lastRenderedPageBreak/>
        <w:t xml:space="preserve">Therefore, the legislation for information technology professionals would apply for </w:t>
      </w:r>
      <w:proofErr w:type="gramStart"/>
      <w:r w:rsidRPr="001F2B83">
        <w:rPr>
          <w:shd w:val="clear" w:color="auto" w:fill="FFFFFF"/>
        </w:rPr>
        <w:t>those</w:t>
      </w:r>
      <w:proofErr w:type="gramEnd"/>
      <w:r w:rsidRPr="001F2B83">
        <w:rPr>
          <w:shd w:val="clear" w:color="auto" w:fill="FFFFFF"/>
        </w:rPr>
        <w:t xml:space="preserve"> video game industry workers who fit that definition. Under the Act, information technology professionals are defined as “</w:t>
      </w:r>
      <w:proofErr w:type="gramStart"/>
      <w:r w:rsidRPr="001F2B83">
        <w:rPr>
          <w:shd w:val="clear" w:color="auto" w:fill="FFFFFF"/>
        </w:rPr>
        <w:t>employees</w:t>
      </w:r>
      <w:proofErr w:type="gramEnd"/>
      <w:r w:rsidRPr="001F2B83">
        <w:rPr>
          <w:shd w:val="clear" w:color="auto" w:fill="FFFFFF"/>
        </w:rPr>
        <w:t xml:space="preserve"> who primarily investigate, analyze, design, develop, implement, operate or manage information systems based on computers and related technologies using specialized knowledge and professional judgement.” (O</w:t>
      </w:r>
      <w:r w:rsidR="00B745BB" w:rsidRPr="001F2B83">
        <w:rPr>
          <w:shd w:val="clear" w:color="auto" w:fill="FFFFFF"/>
        </w:rPr>
        <w:t>ntario Regulation</w:t>
      </w:r>
      <w:r w:rsidRPr="001F2B83">
        <w:rPr>
          <w:shd w:val="clear" w:color="auto" w:fill="FFFFFF"/>
        </w:rPr>
        <w:t xml:space="preserve"> 285/01)</w:t>
      </w:r>
    </w:p>
    <w:p w:rsidR="00ED0E89" w:rsidRDefault="00ED0E89" w:rsidP="00ED0E89">
      <w:pPr>
        <w:pStyle w:val="Heading2"/>
        <w:rPr>
          <w:lang w:val="en-CA"/>
        </w:rPr>
      </w:pPr>
      <w:bookmarkStart w:id="40" w:name="_Toc428799777"/>
      <w:proofErr w:type="gramStart"/>
      <w:r>
        <w:rPr>
          <w:lang w:val="en-CA"/>
        </w:rPr>
        <w:t>Voluntary or imposed?</w:t>
      </w:r>
      <w:proofErr w:type="gramEnd"/>
      <w:r>
        <w:rPr>
          <w:lang w:val="en-CA"/>
        </w:rPr>
        <w:t xml:space="preserve"> </w:t>
      </w:r>
      <w:r w:rsidRPr="00A34121">
        <w:rPr>
          <w:lang w:val="en-CA"/>
        </w:rPr>
        <w:t>Pressure</w:t>
      </w:r>
      <w:r>
        <w:rPr>
          <w:lang w:val="en-CA"/>
        </w:rPr>
        <w:t xml:space="preserve"> to crunch</w:t>
      </w:r>
      <w:bookmarkEnd w:id="39"/>
      <w:bookmarkEnd w:id="40"/>
    </w:p>
    <w:p w:rsidR="00ED0E89" w:rsidRPr="00ED0E89" w:rsidRDefault="00ED0E89" w:rsidP="00763264">
      <w:pPr>
        <w:pStyle w:val="p"/>
      </w:pPr>
      <w:r w:rsidRPr="00BB6E7B">
        <w:t xml:space="preserve">Whether or not </w:t>
      </w:r>
      <w:r w:rsidR="009E620C" w:rsidRPr="00BB6E7B">
        <w:t xml:space="preserve">actively responding to a </w:t>
      </w:r>
      <w:r w:rsidRPr="00BB6E7B">
        <w:t xml:space="preserve">legal framework, either general labor standards (Canada) or potential class actions (US), employers often avoid </w:t>
      </w:r>
      <w:r w:rsidR="00006011" w:rsidRPr="00BB6E7B">
        <w:t xml:space="preserve">explicitly </w:t>
      </w:r>
      <w:r w:rsidRPr="00BB6E7B">
        <w:t>asking for overtime work</w:t>
      </w:r>
      <w:r w:rsidR="00017862">
        <w:t xml:space="preserve"> or explicitly requiring an employee to work it.</w:t>
      </w:r>
      <w:r w:rsidRPr="00BB6E7B">
        <w:t xml:space="preserve"> </w:t>
      </w:r>
      <w:r w:rsidR="009E620C" w:rsidRPr="00BB6E7B">
        <w:t>Rather t</w:t>
      </w:r>
      <w:r w:rsidR="00006011" w:rsidRPr="00BB6E7B">
        <w:t>hey prefer to refer implicitly to the</w:t>
      </w:r>
      <w:r w:rsidR="009E620C" w:rsidRPr="00BB6E7B">
        <w:t xml:space="preserve"> needs of the project, the</w:t>
      </w:r>
      <w:r w:rsidR="00006011" w:rsidRPr="00BB6E7B">
        <w:t xml:space="preserve"> problems in </w:t>
      </w:r>
      <w:r w:rsidR="009E620C" w:rsidRPr="00BB6E7B">
        <w:t xml:space="preserve">the </w:t>
      </w:r>
      <w:r w:rsidR="00006011" w:rsidRPr="00BB6E7B">
        <w:t xml:space="preserve">schedule, </w:t>
      </w:r>
      <w:r w:rsidR="005D5FB5">
        <w:t xml:space="preserve">or </w:t>
      </w:r>
      <w:r w:rsidR="009E620C" w:rsidRPr="00BB6E7B">
        <w:t xml:space="preserve">the additional work that needs to be done </w:t>
      </w:r>
      <w:r w:rsidR="005D5FB5">
        <w:t xml:space="preserve">while they are having casual </w:t>
      </w:r>
      <w:r w:rsidR="001775A7" w:rsidRPr="00BB6E7B">
        <w:t xml:space="preserve">conversations with developers. </w:t>
      </w:r>
      <w:r w:rsidR="009E620C" w:rsidRPr="00BB6E7B">
        <w:t>This then puts the onus on the employee and</w:t>
      </w:r>
      <w:r w:rsidR="00006011" w:rsidRPr="00BB6E7B">
        <w:t xml:space="preserve"> leav</w:t>
      </w:r>
      <w:r w:rsidR="009E620C" w:rsidRPr="00BB6E7B">
        <w:t>es</w:t>
      </w:r>
      <w:r w:rsidR="00006011" w:rsidRPr="00BB6E7B">
        <w:t xml:space="preserve"> room for </w:t>
      </w:r>
      <w:r w:rsidR="009E620C" w:rsidRPr="00BB6E7B">
        <w:t xml:space="preserve">what then seems like a </w:t>
      </w:r>
      <w:r w:rsidR="00006011" w:rsidRPr="00BB6E7B">
        <w:t>willful decision to stay at work at the end of the day.</w:t>
      </w:r>
      <w:r w:rsidR="00006011">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6"/>
      </w:tblGrid>
      <w:tr w:rsidR="00ED0E89" w:rsidRPr="00C44C18" w:rsidTr="005325B7">
        <w:tc>
          <w:tcPr>
            <w:tcW w:w="7376" w:type="dxa"/>
            <w:shd w:val="clear" w:color="auto" w:fill="auto"/>
          </w:tcPr>
          <w:p w:rsidR="00ED0E89" w:rsidRDefault="007376F7" w:rsidP="00A04FCB">
            <w:pPr>
              <w:pStyle w:val="p0"/>
            </w:pPr>
            <w:r>
              <w:t>B</w:t>
            </w:r>
            <w:r w:rsidR="00ED0E89" w:rsidRPr="00E17D21">
              <w:t xml:space="preserve">ased on Canadian legal provisions, we must notice that while </w:t>
            </w:r>
            <w:r w:rsidR="005D5FB5">
              <w:t xml:space="preserve">game testers </w:t>
            </w:r>
            <w:r w:rsidR="00ED0E89" w:rsidRPr="00E17D21">
              <w:t>are often compensated for overtime in Canada</w:t>
            </w:r>
            <w:r w:rsidR="005D5FB5">
              <w:t xml:space="preserve"> (because they are usually paid according to an hourly rate)</w:t>
            </w:r>
            <w:r w:rsidR="00ED0E89" w:rsidRPr="00E17D21">
              <w:t>, developers are not.</w:t>
            </w:r>
          </w:p>
          <w:p w:rsidR="00426FB0" w:rsidRPr="00426FB0" w:rsidRDefault="00426FB0" w:rsidP="00426FB0">
            <w:pPr>
              <w:pStyle w:val="e1"/>
              <w:rPr>
                <w:lang w:eastAsia="en-US"/>
              </w:rPr>
            </w:pPr>
          </w:p>
          <w:p w:rsidR="00ED0E89" w:rsidRDefault="00ED0E89" w:rsidP="00A04FCB">
            <w:pPr>
              <w:pStyle w:val="p0"/>
            </w:pPr>
            <w:r w:rsidRPr="00E17D21">
              <w:t xml:space="preserve">In interview material, we can observe that among 32 respondents who discussed the way </w:t>
            </w:r>
            <w:r w:rsidR="00426FB0">
              <w:t>they are requested to work over</w:t>
            </w:r>
            <w:r w:rsidRPr="00E17D21">
              <w:t xml:space="preserve">time, a third are explicitly asked to do so, while two thirds are </w:t>
            </w:r>
            <w:r w:rsidRPr="00426FB0">
              <w:t xml:space="preserve">implicitly required. </w:t>
            </w:r>
            <w:r w:rsidR="00E34BE6" w:rsidRPr="00426FB0">
              <w:t xml:space="preserve">Among </w:t>
            </w:r>
            <w:r w:rsidR="00BB47B4" w:rsidRPr="00426FB0">
              <w:t>those who are asked explicitly</w:t>
            </w:r>
            <w:r w:rsidR="00E34BE6" w:rsidRPr="00426FB0">
              <w:t xml:space="preserve">, 2 </w:t>
            </w:r>
            <w:r w:rsidR="00BB47B4" w:rsidRPr="00426FB0">
              <w:t>are testers</w:t>
            </w:r>
            <w:r w:rsidR="00E34BE6" w:rsidRPr="00426FB0">
              <w:t xml:space="preserve">, and 3 </w:t>
            </w:r>
            <w:r w:rsidR="00BB47B4" w:rsidRPr="00426FB0">
              <w:t>testers</w:t>
            </w:r>
            <w:r w:rsidR="00E34BE6" w:rsidRPr="00426FB0">
              <w:t xml:space="preserve"> are implicitly asked</w:t>
            </w:r>
            <w:r w:rsidR="00BB47B4" w:rsidRPr="00426FB0">
              <w:t>; t</w:t>
            </w:r>
            <w:r w:rsidR="00E34BE6" w:rsidRPr="00426FB0">
              <w:t>he rest are developers</w:t>
            </w:r>
            <w:r w:rsidR="00BB47B4" w:rsidRPr="00426FB0">
              <w:t xml:space="preserve"> and they are evenly distributed in the two groups</w:t>
            </w:r>
            <w:r w:rsidR="00E34BE6" w:rsidRPr="00426FB0">
              <w:t xml:space="preserve">. </w:t>
            </w:r>
          </w:p>
          <w:p w:rsidR="00426FB0" w:rsidRPr="00426FB0" w:rsidRDefault="00426FB0" w:rsidP="00426FB0">
            <w:pPr>
              <w:pStyle w:val="e1"/>
              <w:rPr>
                <w:lang w:eastAsia="en-US"/>
              </w:rPr>
            </w:pPr>
          </w:p>
          <w:p w:rsidR="00C07B00" w:rsidRPr="00E17D21" w:rsidRDefault="00E34BE6" w:rsidP="00A04FCB">
            <w:pPr>
              <w:pStyle w:val="p0"/>
            </w:pPr>
            <w:r>
              <w:t>We must also note that</w:t>
            </w:r>
            <w:r w:rsidR="00ED0E89" w:rsidRPr="00E17D21">
              <w:t xml:space="preserve"> “explicitly asking” </w:t>
            </w:r>
            <w:r>
              <w:t>someone</w:t>
            </w:r>
            <w:r w:rsidR="00ED0E89" w:rsidRPr="00E17D21">
              <w:t xml:space="preserve"> to stay at work does not keep management fro</w:t>
            </w:r>
            <w:r>
              <w:t xml:space="preserve">m asking on very short notice. </w:t>
            </w:r>
            <w:r w:rsidR="00ED0E89" w:rsidRPr="00E17D21">
              <w:t xml:space="preserve">Otherwise, Canadian respondents </w:t>
            </w:r>
            <w:r w:rsidR="007376F7">
              <w:t xml:space="preserve">in 2013-14 </w:t>
            </w:r>
            <w:r w:rsidR="00ED0E89" w:rsidRPr="00E17D21">
              <w:t>still mostly mention managers “</w:t>
            </w:r>
            <w:r w:rsidR="00ED0E89" w:rsidRPr="0001337E">
              <w:rPr>
                <w:b/>
              </w:rPr>
              <w:t>implicitly</w:t>
            </w:r>
            <w:r w:rsidR="00ED0E89" w:rsidRPr="00E17D21">
              <w:t xml:space="preserve"> asking”, as they did in </w:t>
            </w:r>
            <w:r w:rsidR="003110C6">
              <w:t>2008 (Legault &amp; Ouellet, 2012).</w:t>
            </w:r>
          </w:p>
          <w:p w:rsidR="00ED0E89" w:rsidRPr="00C16E5B" w:rsidRDefault="00ED0E89" w:rsidP="00C07B00">
            <w:pPr>
              <w:pStyle w:val="c1"/>
              <w:ind w:left="0"/>
              <w:rPr>
                <w:lang w:val="en-CA"/>
              </w:rPr>
            </w:pPr>
          </w:p>
        </w:tc>
      </w:tr>
    </w:tbl>
    <w:p w:rsidR="00C10941" w:rsidRDefault="00C10941" w:rsidP="00C10941">
      <w:pPr>
        <w:pStyle w:val="p"/>
        <w:rPr>
          <w:spacing w:val="-4"/>
          <w:kern w:val="28"/>
          <w:sz w:val="28"/>
        </w:rPr>
      </w:pPr>
      <w:r>
        <w:br w:type="page"/>
      </w:r>
    </w:p>
    <w:p w:rsidR="00687689" w:rsidRDefault="00687689" w:rsidP="00687689">
      <w:pPr>
        <w:pStyle w:val="Heading1"/>
        <w:rPr>
          <w:lang w:val="en-CA"/>
        </w:rPr>
      </w:pPr>
      <w:bookmarkStart w:id="41" w:name="_Toc428799778"/>
      <w:r>
        <w:rPr>
          <w:lang w:val="en-CA"/>
        </w:rPr>
        <w:lastRenderedPageBreak/>
        <w:t>Conclusion</w:t>
      </w:r>
      <w:bookmarkEnd w:id="41"/>
    </w:p>
    <w:p w:rsidR="00687689" w:rsidRPr="00F35D45" w:rsidRDefault="00687689" w:rsidP="00687689">
      <w:pPr>
        <w:pStyle w:val="p"/>
      </w:pPr>
      <w:r w:rsidRPr="00F35D45">
        <w:t>This report relies on data from three IGDA surveys over a 10 year period (2004, 2009, 2014) and over 150 video game developers over two complementary time periods (2008, 2013-14) to paint a picture of the evolution in working time practices at game development studios.</w:t>
      </w:r>
    </w:p>
    <w:p w:rsidR="00F35D45" w:rsidRDefault="00687689" w:rsidP="00687689">
      <w:pPr>
        <w:pStyle w:val="p"/>
      </w:pPr>
      <w:r w:rsidRPr="00F35D45">
        <w:t>Overall the data suggest a reduction in regular hours worked as well as a reduction in the practice of ‘crunch’ (extended hours usually toward a specific deadline or milestone).</w:t>
      </w:r>
      <w:r w:rsidR="00F35D45" w:rsidRPr="00F35D45">
        <w:t xml:space="preserve"> </w:t>
      </w:r>
      <w:r w:rsidRPr="00F35D45">
        <w:t>This reduction in crunch time has occurred across the multiple dimensions of crunch.</w:t>
      </w:r>
      <w:r w:rsidR="00F35D45" w:rsidRPr="00F35D45">
        <w:t xml:space="preserve"> </w:t>
      </w:r>
    </w:p>
    <w:p w:rsidR="00F35D45" w:rsidRDefault="00687689" w:rsidP="00687689">
      <w:pPr>
        <w:pStyle w:val="p"/>
      </w:pPr>
      <w:r w:rsidRPr="00F35D45">
        <w:t>First, there has been a reduction in terms of the percentage of developers who are working at studios that practice crunch or who engage in crunch as part of their work.</w:t>
      </w:r>
      <w:r w:rsidR="00F35D45" w:rsidRPr="00F35D45">
        <w:t xml:space="preserve"> </w:t>
      </w:r>
    </w:p>
    <w:p w:rsidR="00F35D45" w:rsidRDefault="00687689" w:rsidP="00687689">
      <w:pPr>
        <w:pStyle w:val="p"/>
      </w:pPr>
      <w:r w:rsidRPr="00F35D45">
        <w:t>Second, there has been a reduction in the hours that make up a typical week of crunch – in other words, developers report fewer hours as the typical crunch week than they used to.</w:t>
      </w:r>
      <w:r w:rsidR="00F35D45" w:rsidRPr="00F35D45">
        <w:t xml:space="preserve"> </w:t>
      </w:r>
    </w:p>
    <w:p w:rsidR="00F35D45" w:rsidRDefault="00687689" w:rsidP="00687689">
      <w:pPr>
        <w:pStyle w:val="p"/>
      </w:pPr>
      <w:r w:rsidRPr="00F35D45">
        <w:t>Third, there has been a reduction in the number of times</w:t>
      </w:r>
      <w:r w:rsidR="005A5595" w:rsidRPr="00F35D45">
        <w:t xml:space="preserve"> a year developers engage in episodes of crunch.</w:t>
      </w:r>
      <w:r w:rsidR="00F35D45" w:rsidRPr="00F35D45">
        <w:t xml:space="preserve"> </w:t>
      </w:r>
    </w:p>
    <w:p w:rsidR="00F35D45" w:rsidRDefault="005A5595" w:rsidP="00687689">
      <w:pPr>
        <w:pStyle w:val="p"/>
      </w:pPr>
      <w:r w:rsidRPr="00F35D45">
        <w:t xml:space="preserve">Fourth there has been a reduction in the length of the typical crunch episode in terms of weeks spent. </w:t>
      </w:r>
    </w:p>
    <w:p w:rsidR="005A5595" w:rsidRPr="00F35D45" w:rsidRDefault="005A5595" w:rsidP="00687689">
      <w:pPr>
        <w:pStyle w:val="p"/>
      </w:pPr>
      <w:r w:rsidRPr="00F35D45">
        <w:t>T</w:t>
      </w:r>
      <w:r w:rsidR="00687689" w:rsidRPr="00F35D45">
        <w:t>hese trends are positive for the video game industry</w:t>
      </w:r>
      <w:r w:rsidRPr="00F35D45">
        <w:t xml:space="preserve"> as a</w:t>
      </w:r>
      <w:r w:rsidR="00687689" w:rsidRPr="00F35D45">
        <w:t>lmost universally the survey data point to downward trends in working time</w:t>
      </w:r>
      <w:r w:rsidRPr="00F35D45">
        <w:t>. This</w:t>
      </w:r>
      <w:r w:rsidR="00687689" w:rsidRPr="00F35D45">
        <w:t xml:space="preserve"> raise</w:t>
      </w:r>
      <w:r w:rsidRPr="00F35D45">
        <w:t>s</w:t>
      </w:r>
      <w:r w:rsidR="00687689" w:rsidRPr="00F35D45">
        <w:t xml:space="preserve"> hope about what has been such a problematic issue for the industry. </w:t>
      </w:r>
    </w:p>
    <w:p w:rsidR="00687689" w:rsidRPr="00F35D45" w:rsidRDefault="00687689" w:rsidP="00687689">
      <w:pPr>
        <w:pStyle w:val="p"/>
      </w:pPr>
      <w:r w:rsidRPr="00F35D45">
        <w:t xml:space="preserve">However, many individual experiences can be lost in generalized survey data and a good many developers are still working a whole lot of hours. Even on these pages, we can see that there is no real upward limit to working time for some respondents: </w:t>
      </w:r>
      <w:r w:rsidR="00D97B1A">
        <w:t>Chart </w:t>
      </w:r>
      <w:r w:rsidR="005A5595" w:rsidRPr="00F35D45">
        <w:t>7</w:t>
      </w:r>
      <w:r w:rsidRPr="00F35D45">
        <w:t xml:space="preserve"> shows that some respondents can work up to 80 hours a week</w:t>
      </w:r>
      <w:r w:rsidR="005A5595" w:rsidRPr="00F35D45">
        <w:t xml:space="preserve"> or more</w:t>
      </w:r>
      <w:r w:rsidRPr="00F35D45">
        <w:t xml:space="preserve"> during crunch time, though they form a reduced share of the population. </w:t>
      </w:r>
      <w:r w:rsidR="00D97B1A">
        <w:t>Chart </w:t>
      </w:r>
      <w:r w:rsidR="00D21F0C" w:rsidRPr="00F35D45">
        <w:t>9</w:t>
      </w:r>
      <w:r w:rsidRPr="00F35D45">
        <w:t xml:space="preserve"> shows that so</w:t>
      </w:r>
      <w:r w:rsidR="00D21F0C" w:rsidRPr="00F35D45">
        <w:t>me respondents can work up to 40</w:t>
      </w:r>
      <w:r w:rsidRPr="00F35D45">
        <w:t xml:space="preserve"> weeks a year in crunch, though they also form a reduced share of the population. Finally, </w:t>
      </w:r>
      <w:r w:rsidR="00D21F0C" w:rsidRPr="00F35D45">
        <w:t>Table 9 shows that so</w:t>
      </w:r>
      <w:r w:rsidRPr="00F35D45">
        <w:t xml:space="preserve">me respondents can work up to </w:t>
      </w:r>
      <w:r w:rsidR="00D21F0C" w:rsidRPr="00F35D45">
        <w:t>2</w:t>
      </w:r>
      <w:r w:rsidRPr="00F35D45">
        <w:t>5 weeks in a row in crunch, though they also form a reduced share of the population.</w:t>
      </w:r>
    </w:p>
    <w:p w:rsidR="00687689" w:rsidRDefault="00687689" w:rsidP="00687689">
      <w:pPr>
        <w:pStyle w:val="p"/>
      </w:pPr>
      <w:r w:rsidRPr="00F35D45">
        <w:t>As well</w:t>
      </w:r>
      <w:r w:rsidR="00D21F0C" w:rsidRPr="00F35D45">
        <w:t>,</w:t>
      </w:r>
      <w:r w:rsidRPr="00F35D45">
        <w:t xml:space="preserve"> ingrained studio practices of many game companies have yet to change with regards to crunch and the legal system</w:t>
      </w:r>
      <w:r w:rsidR="00D21F0C" w:rsidRPr="00F35D45">
        <w:t xml:space="preserve"> enables</w:t>
      </w:r>
      <w:r w:rsidRPr="00F35D45">
        <w:t xml:space="preserve"> managers to engage in poor practices. With this good news in hand, developers still too often fall prey to supposed industry norms and culture and commit themselves to a work environment that can rob them of their love of the game.</w:t>
      </w:r>
    </w:p>
    <w:p w:rsidR="00C10941" w:rsidRDefault="00C10941">
      <w:pPr>
        <w:jc w:val="left"/>
        <w:rPr>
          <w:caps/>
          <w:spacing w:val="-4"/>
          <w:kern w:val="28"/>
          <w:sz w:val="28"/>
          <w:lang w:val="en-CA"/>
        </w:rPr>
      </w:pPr>
      <w:bookmarkStart w:id="42" w:name="_Toc408662213"/>
      <w:bookmarkEnd w:id="32"/>
      <w:bookmarkEnd w:id="33"/>
      <w:r>
        <w:rPr>
          <w:lang w:val="en-CA"/>
        </w:rPr>
        <w:br w:type="page"/>
      </w:r>
    </w:p>
    <w:p w:rsidR="00ED0E89" w:rsidRDefault="00ED0E89" w:rsidP="00ED0E89">
      <w:pPr>
        <w:pStyle w:val="Heading1"/>
        <w:rPr>
          <w:lang w:val="en-CA"/>
        </w:rPr>
      </w:pPr>
      <w:bookmarkStart w:id="43" w:name="_Toc428799779"/>
      <w:r w:rsidRPr="00E165E1">
        <w:rPr>
          <w:lang w:val="en-CA"/>
        </w:rPr>
        <w:lastRenderedPageBreak/>
        <w:t>references</w:t>
      </w:r>
      <w:bookmarkEnd w:id="42"/>
      <w:bookmarkEnd w:id="43"/>
    </w:p>
    <w:p w:rsidR="00ED0E89" w:rsidRPr="00A07345" w:rsidRDefault="00ED0E89" w:rsidP="00763264">
      <w:pPr>
        <w:pStyle w:val="e1"/>
      </w:pPr>
      <w:r w:rsidRPr="00A07345">
        <w:t xml:space="preserve">Acton, Mike (2010) </w:t>
      </w:r>
      <w:r w:rsidR="000C3889" w:rsidRPr="00A07345">
        <w:t>“</w:t>
      </w:r>
      <w:r w:rsidRPr="00A07345">
        <w:t>It doesn’t have to suck</w:t>
      </w:r>
      <w:r w:rsidR="000C3889" w:rsidRPr="00A07345">
        <w:t>”</w:t>
      </w:r>
      <w:r w:rsidRPr="00A07345">
        <w:t xml:space="preserve">, December 25, </w:t>
      </w:r>
      <w:hyperlink r:id="rId19" w:history="1">
        <w:r w:rsidRPr="00A07345">
          <w:rPr>
            <w:rStyle w:val="Hyperlink"/>
          </w:rPr>
          <w:t>http://gamasutra.com/blogs/BrendaBrathwaite/20110117/6815/Mike_Actons_quotIt_Doesnt_Have_To_Suck_gamedevquot.php</w:t>
        </w:r>
      </w:hyperlink>
    </w:p>
    <w:p w:rsidR="00ED0E89" w:rsidRPr="00A07345" w:rsidRDefault="00ED0E89" w:rsidP="00763264">
      <w:pPr>
        <w:pStyle w:val="e1"/>
      </w:pPr>
      <w:r w:rsidRPr="00A07345">
        <w:t xml:space="preserve">Campbell, Iain (2002) “Snatching at the wind? Unpaid overtime and Trade Unions in Australia”, </w:t>
      </w:r>
      <w:r w:rsidRPr="00A07345">
        <w:rPr>
          <w:i/>
        </w:rPr>
        <w:t>International Journal of Employment Studies</w:t>
      </w:r>
      <w:r w:rsidRPr="00A07345">
        <w:t>, 10(2):109-156</w:t>
      </w:r>
    </w:p>
    <w:p w:rsidR="00ED0E89" w:rsidRPr="00A07345" w:rsidRDefault="00ED0E89" w:rsidP="00763264">
      <w:pPr>
        <w:pStyle w:val="e1"/>
        <w:rPr>
          <w:lang w:eastAsia="fr-FR"/>
        </w:rPr>
      </w:pPr>
      <w:r w:rsidRPr="00A07345">
        <w:rPr>
          <w:lang w:eastAsia="fr-FR"/>
        </w:rPr>
        <w:t xml:space="preserve">Campbell, Iain (2003) ‘Puzzles of Unpaid Overtime’, </w:t>
      </w:r>
      <w:r w:rsidR="000C3889" w:rsidRPr="00A07345">
        <w:rPr>
          <w:lang w:eastAsia="fr-FR"/>
        </w:rPr>
        <w:t>in</w:t>
      </w:r>
      <w:r w:rsidRPr="00A07345">
        <w:rPr>
          <w:lang w:eastAsia="fr-FR"/>
        </w:rPr>
        <w:t xml:space="preserve"> I. </w:t>
      </w:r>
      <w:proofErr w:type="spellStart"/>
      <w:r w:rsidRPr="00A07345">
        <w:rPr>
          <w:lang w:eastAsia="fr-FR"/>
        </w:rPr>
        <w:t>Zeytinoglu</w:t>
      </w:r>
      <w:proofErr w:type="spellEnd"/>
      <w:r w:rsidRPr="00A07345">
        <w:rPr>
          <w:lang w:eastAsia="fr-FR"/>
        </w:rPr>
        <w:t xml:space="preserve"> (</w:t>
      </w:r>
      <w:r w:rsidR="000C3889" w:rsidRPr="00A07345">
        <w:rPr>
          <w:lang w:eastAsia="fr-FR"/>
        </w:rPr>
        <w:t>ed</w:t>
      </w:r>
      <w:r w:rsidRPr="00A07345">
        <w:rPr>
          <w:lang w:eastAsia="fr-FR"/>
        </w:rPr>
        <w:t xml:space="preserve">.), </w:t>
      </w:r>
      <w:r w:rsidRPr="00A07345">
        <w:rPr>
          <w:rFonts w:cs="PalatinoLinotype,Bold"/>
          <w:bCs/>
          <w:i/>
          <w:lang w:eastAsia="fr-FR"/>
        </w:rPr>
        <w:t>Flexible Work Arrangements: Conceptualizations and International Experiences</w:t>
      </w:r>
      <w:r w:rsidRPr="00A07345">
        <w:rPr>
          <w:lang w:eastAsia="fr-FR"/>
        </w:rPr>
        <w:t>, Kluwer Law International, The Hague, The Netherlands: 25-43</w:t>
      </w:r>
    </w:p>
    <w:p w:rsidR="00ED0E89" w:rsidRPr="00A07345" w:rsidRDefault="00ED0E89" w:rsidP="00763264">
      <w:pPr>
        <w:pStyle w:val="e1"/>
      </w:pPr>
      <w:r w:rsidRPr="00A07345">
        <w:t>Canadian Policy Research Network (CPRN) (2009</w:t>
      </w:r>
      <w:r w:rsidR="000C3889" w:rsidRPr="00A07345">
        <w:t>) Long Hours of Work.</w:t>
      </w:r>
      <w:r w:rsidRPr="00A07345">
        <w:t xml:space="preserve"> Compilation of the 2000 Statistic Canada Labor Force Survey, JobQuality.ca </w:t>
      </w:r>
    </w:p>
    <w:p w:rsidR="00ED0E89" w:rsidRPr="00A07345" w:rsidRDefault="00ED0E89" w:rsidP="00763264">
      <w:pPr>
        <w:pStyle w:val="e1"/>
      </w:pPr>
      <w:r w:rsidRPr="00A07345">
        <w:t>Chait Barnett, Rosalind (2004) “Work Hours as a Predictor of Stress Outcomes”, Long</w:t>
      </w:r>
      <w:r w:rsidRPr="00A07345">
        <w:rPr>
          <w:i/>
        </w:rPr>
        <w:t xml:space="preserve"> Working Hours, Safety, and Health: Toward a National Research Agenda</w:t>
      </w:r>
      <w:r w:rsidRPr="00A07345">
        <w:t xml:space="preserve">, </w:t>
      </w:r>
      <w:proofErr w:type="spellStart"/>
      <w:r w:rsidRPr="00A07345">
        <w:t>Diaporama</w:t>
      </w:r>
      <w:proofErr w:type="spellEnd"/>
      <w:r w:rsidRPr="00A07345">
        <w:t xml:space="preserve">, National Conference, University of Maryland, </w:t>
      </w:r>
      <w:proofErr w:type="gramStart"/>
      <w:r w:rsidRPr="00A07345">
        <w:t>April</w:t>
      </w:r>
      <w:proofErr w:type="gramEnd"/>
      <w:r w:rsidRPr="00A07345">
        <w:t xml:space="preserve"> 29-30</w:t>
      </w:r>
    </w:p>
    <w:p w:rsidR="000C3889" w:rsidRPr="00A07345" w:rsidRDefault="00ED0E89" w:rsidP="00763264">
      <w:pPr>
        <w:pStyle w:val="e1"/>
      </w:pPr>
      <w:r w:rsidRPr="00A07345">
        <w:tab/>
      </w:r>
      <w:hyperlink r:id="rId20" w:history="1">
        <w:r w:rsidRPr="00A07345">
          <w:t>http://www.brandeis.edu/centers/cfwp/barnett_presentations/LongWorkHours.pdf</w:t>
        </w:r>
      </w:hyperlink>
    </w:p>
    <w:p w:rsidR="00ED0E89" w:rsidRPr="00A07345" w:rsidRDefault="00ED0E89" w:rsidP="00763264">
      <w:pPr>
        <w:pStyle w:val="e1"/>
      </w:pPr>
      <w:proofErr w:type="spellStart"/>
      <w:r w:rsidRPr="00A07345">
        <w:t>Charmaz</w:t>
      </w:r>
      <w:proofErr w:type="spellEnd"/>
      <w:r w:rsidRPr="00A07345">
        <w:t xml:space="preserve">, Kathy (2000) “Grounded theory. Objectivist and Constructivist Methods”, in Norman K. Denzin </w:t>
      </w:r>
      <w:r w:rsidR="000C3889" w:rsidRPr="00A07345">
        <w:t>&amp;</w:t>
      </w:r>
      <w:r w:rsidRPr="00A07345">
        <w:t xml:space="preserve"> </w:t>
      </w:r>
      <w:proofErr w:type="spellStart"/>
      <w:r w:rsidRPr="00A07345">
        <w:t>Yvonna</w:t>
      </w:r>
      <w:proofErr w:type="spellEnd"/>
      <w:r w:rsidRPr="00A07345">
        <w:t xml:space="preserve"> S. Lincoln (</w:t>
      </w:r>
      <w:proofErr w:type="spellStart"/>
      <w:proofErr w:type="gramStart"/>
      <w:r w:rsidRPr="00A07345">
        <w:t>eds</w:t>
      </w:r>
      <w:proofErr w:type="spellEnd"/>
      <w:proofErr w:type="gramEnd"/>
      <w:r w:rsidRPr="00A07345">
        <w:t xml:space="preserve">), </w:t>
      </w:r>
      <w:r w:rsidRPr="00A07345">
        <w:rPr>
          <w:i/>
        </w:rPr>
        <w:t>Handbook of Qualitative Research</w:t>
      </w:r>
      <w:r w:rsidRPr="00A07345">
        <w:t xml:space="preserve"> (2</w:t>
      </w:r>
      <w:r w:rsidRPr="00A07345">
        <w:rPr>
          <w:vertAlign w:val="superscript"/>
        </w:rPr>
        <w:t>nd</w:t>
      </w:r>
      <w:r w:rsidRPr="00A07345">
        <w:t xml:space="preserve"> </w:t>
      </w:r>
      <w:proofErr w:type="spellStart"/>
      <w:r w:rsidRPr="00A07345">
        <w:t>ed</w:t>
      </w:r>
      <w:proofErr w:type="spellEnd"/>
      <w:r w:rsidRPr="00A07345">
        <w:t>), Thousand Oaks, Sage</w:t>
      </w:r>
    </w:p>
    <w:p w:rsidR="00ED0E89" w:rsidRPr="00A07345" w:rsidRDefault="00ED0E89" w:rsidP="00763264">
      <w:pPr>
        <w:pStyle w:val="e1"/>
      </w:pPr>
      <w:r w:rsidRPr="00A07345">
        <w:t>Chasserio, Stéphanie &amp; Marie-Josée Legault (2010) “Discretionary Power of project managers in knowledge intensive firms and gender issues”</w:t>
      </w:r>
      <w:r w:rsidRPr="00A07345">
        <w:rPr>
          <w:i/>
        </w:rPr>
        <w:t xml:space="preserve">, Revue </w:t>
      </w:r>
      <w:proofErr w:type="spellStart"/>
      <w:r w:rsidRPr="00A07345">
        <w:rPr>
          <w:i/>
        </w:rPr>
        <w:t>canadienne</w:t>
      </w:r>
      <w:proofErr w:type="spellEnd"/>
      <w:r w:rsidRPr="00A07345">
        <w:rPr>
          <w:i/>
        </w:rPr>
        <w:t xml:space="preserve"> des sciences </w:t>
      </w:r>
      <w:proofErr w:type="spellStart"/>
      <w:r w:rsidRPr="00A07345">
        <w:rPr>
          <w:i/>
        </w:rPr>
        <w:t>administratives</w:t>
      </w:r>
      <w:proofErr w:type="spellEnd"/>
      <w:r w:rsidRPr="00A07345">
        <w:rPr>
          <w:i/>
        </w:rPr>
        <w:t xml:space="preserve"> – Canadian Journal of Administrative Sciences</w:t>
      </w:r>
      <w:r w:rsidR="000C3889" w:rsidRPr="00A07345">
        <w:t>, 27(</w:t>
      </w:r>
      <w:r w:rsidRPr="00A07345">
        <w:t xml:space="preserve">3): </w:t>
      </w:r>
      <w:r w:rsidRPr="00A07345">
        <w:rPr>
          <w:rFonts w:cs="Times-Roman"/>
        </w:rPr>
        <w:t xml:space="preserve">236–248; </w:t>
      </w:r>
      <w:hyperlink r:id="rId21" w:history="1">
        <w:r w:rsidRPr="00A07345">
          <w:rPr>
            <w:rStyle w:val="Hyperlink"/>
          </w:rPr>
          <w:t>http://onlinelibrary.wiley.com/doi/10.1002/cjas.147/pdf</w:t>
        </w:r>
      </w:hyperlink>
    </w:p>
    <w:p w:rsidR="00ED0E89" w:rsidRPr="00A07345" w:rsidRDefault="00ED0E89" w:rsidP="00763264">
      <w:pPr>
        <w:pStyle w:val="e1"/>
        <w:rPr>
          <w:lang w:val="en-US"/>
        </w:rPr>
      </w:pPr>
      <w:r w:rsidRPr="00A07345">
        <w:t xml:space="preserve">Chasserio, Stéphanie </w:t>
      </w:r>
      <w:r w:rsidR="000C3889" w:rsidRPr="00A07345">
        <w:t>&amp;</w:t>
      </w:r>
      <w:r w:rsidRPr="00A07345">
        <w:t xml:space="preserve"> Marie-Josée Legault (2009) “Strategic human resources management is irrelevant when it comes to highly skilled professionals in the Canadian new economy!</w:t>
      </w:r>
      <w:proofErr w:type="gramStart"/>
      <w:r w:rsidRPr="00A07345">
        <w:t>”,</w:t>
      </w:r>
      <w:proofErr w:type="gramEnd"/>
      <w:r w:rsidRPr="00A07345">
        <w:t xml:space="preserve"> </w:t>
      </w:r>
      <w:r w:rsidRPr="00A07345">
        <w:rPr>
          <w:i/>
        </w:rPr>
        <w:t>International Journal of Human Resource Management,</w:t>
      </w:r>
      <w:r w:rsidRPr="00A07345">
        <w:t xml:space="preserve"> 20(5):</w:t>
      </w:r>
      <w:r w:rsidR="000C3889" w:rsidRPr="00A07345">
        <w:rPr>
          <w:lang w:val="en-US"/>
        </w:rPr>
        <w:t xml:space="preserve"> 1113-1131,</w:t>
      </w:r>
      <w:r w:rsidRPr="00A07345">
        <w:rPr>
          <w:lang w:val="en-US"/>
        </w:rPr>
        <w:t xml:space="preserve"> </w:t>
      </w:r>
      <w:hyperlink r:id="rId22" w:history="1">
        <w:r w:rsidRPr="00A07345">
          <w:rPr>
            <w:rStyle w:val="Hyperlink"/>
            <w:lang w:val="en-US"/>
          </w:rPr>
          <w:t>http://www.informaworld.com/smpp/title~db=all~content=g911806569</w:t>
        </w:r>
      </w:hyperlink>
    </w:p>
    <w:p w:rsidR="00ED0E89" w:rsidRPr="00A07345" w:rsidRDefault="00ED0E89" w:rsidP="00763264">
      <w:pPr>
        <w:pStyle w:val="e1"/>
      </w:pPr>
      <w:proofErr w:type="spellStart"/>
      <w:r w:rsidRPr="00A07345">
        <w:t>Chatzitheochari</w:t>
      </w:r>
      <w:proofErr w:type="spellEnd"/>
      <w:r w:rsidRPr="00A07345">
        <w:t xml:space="preserve">, Stella </w:t>
      </w:r>
      <w:r w:rsidR="000C3889" w:rsidRPr="00A07345">
        <w:t>&amp;</w:t>
      </w:r>
      <w:r w:rsidRPr="00A07345">
        <w:t xml:space="preserve"> Sara Arber (2009) “Lack of Sleep, Work and the Long Hours Culture: Evidence </w:t>
      </w:r>
      <w:proofErr w:type="gramStart"/>
      <w:r w:rsidRPr="00A07345">
        <w:t>From</w:t>
      </w:r>
      <w:proofErr w:type="gramEnd"/>
      <w:r w:rsidRPr="00A07345">
        <w:t xml:space="preserve"> the UK Time Use Survey”, </w:t>
      </w:r>
      <w:r w:rsidRPr="00A07345">
        <w:rPr>
          <w:i/>
        </w:rPr>
        <w:t>Work, Employment and Society</w:t>
      </w:r>
      <w:r w:rsidRPr="00A07345">
        <w:t>, 23(1): 30-48</w:t>
      </w:r>
    </w:p>
    <w:p w:rsidR="00ED0E89" w:rsidRPr="00A07345" w:rsidRDefault="00ED0E89" w:rsidP="00763264">
      <w:pPr>
        <w:pStyle w:val="e1"/>
      </w:pPr>
      <w:r w:rsidRPr="00A07345">
        <w:t xml:space="preserve">D’Amours Martine &amp; Marie-Josée Legault (2013) “Highly Skilled Workers and Employment Risks: Role of Institutions”, </w:t>
      </w:r>
      <w:r w:rsidRPr="00A07345">
        <w:rPr>
          <w:i/>
        </w:rPr>
        <w:t xml:space="preserve">Labour Studies Journal, </w:t>
      </w:r>
      <w:r w:rsidRPr="00A07345">
        <w:t>38(2): 89 – 109</w:t>
      </w:r>
    </w:p>
    <w:p w:rsidR="00ED0E89" w:rsidRPr="00A07345" w:rsidRDefault="00ED0E89" w:rsidP="00763264">
      <w:pPr>
        <w:pStyle w:val="e1"/>
      </w:pPr>
      <w:proofErr w:type="spellStart"/>
      <w:r w:rsidRPr="00A07345">
        <w:t>Dembe</w:t>
      </w:r>
      <w:proofErr w:type="spellEnd"/>
      <w:r w:rsidRPr="00A07345">
        <w:t xml:space="preserve">, Allard E. (2009) “Ethical Issues Relating to the Health Effects of Long Working Hours”, </w:t>
      </w:r>
      <w:r w:rsidRPr="00A07345">
        <w:rPr>
          <w:i/>
          <w:iCs/>
        </w:rPr>
        <w:t>Journal of Business Ethics</w:t>
      </w:r>
      <w:r w:rsidRPr="00A07345">
        <w:t>, 84: 195–208</w:t>
      </w:r>
    </w:p>
    <w:p w:rsidR="00981EC0" w:rsidRPr="00A07345" w:rsidRDefault="00981EC0" w:rsidP="00763264">
      <w:pPr>
        <w:pStyle w:val="e1"/>
      </w:pPr>
      <w:proofErr w:type="gramStart"/>
      <w:r w:rsidRPr="00A07345">
        <w:t>Division of Labour Standards Enforcement.</w:t>
      </w:r>
      <w:proofErr w:type="gramEnd"/>
      <w:r w:rsidRPr="00A07345">
        <w:t xml:space="preserve"> (2015). History of Rate of Pay for Exemption of Computer Software Employee (California Labor Code Section 515.5(a</w:t>
      </w:r>
      <w:proofErr w:type="gramStart"/>
      <w:r w:rsidRPr="00A07345">
        <w:t>)(</w:t>
      </w:r>
      <w:proofErr w:type="gramEnd"/>
      <w:r w:rsidRPr="00A07345">
        <w:t xml:space="preserve">3)). </w:t>
      </w:r>
      <w:hyperlink r:id="rId23" w:history="1">
        <w:r w:rsidRPr="00A07345">
          <w:rPr>
            <w:rStyle w:val="Hyperlink"/>
          </w:rPr>
          <w:t>https://www.dir.ca.gov/dlse/LC515-5.pdf</w:t>
        </w:r>
      </w:hyperlink>
    </w:p>
    <w:p w:rsidR="00ED0E89" w:rsidRPr="00A07345" w:rsidRDefault="00ED0E89" w:rsidP="00763264">
      <w:pPr>
        <w:pStyle w:val="e1"/>
      </w:pPr>
      <w:r w:rsidRPr="00A07345">
        <w:t>Edwards, Kate, Johanna Weststar, Wanda Meloni, Celia Pearce, Marie-Josée Legault (2014) “IGDA Developer Satisfaction Survey Summary Report”</w:t>
      </w:r>
    </w:p>
    <w:p w:rsidR="00ED0E89" w:rsidRPr="00A07345" w:rsidRDefault="00ED0E89" w:rsidP="00763264">
      <w:pPr>
        <w:pStyle w:val="e1"/>
      </w:pPr>
      <w:r w:rsidRPr="00A07345">
        <w:lastRenderedPageBreak/>
        <w:tab/>
      </w:r>
      <w:hyperlink r:id="rId24" w:history="1">
        <w:r w:rsidRPr="00A07345">
          <w:rPr>
            <w:rStyle w:val="Hyperlink"/>
          </w:rPr>
          <w:t>http://www.igda.org/news/179436/IGDA-Developer-Satisfaction-Survey-Summary-Report-Available.htm</w:t>
        </w:r>
      </w:hyperlink>
    </w:p>
    <w:p w:rsidR="00C575D9" w:rsidRPr="00A07345" w:rsidRDefault="00C575D9" w:rsidP="00763264">
      <w:pPr>
        <w:pStyle w:val="e1"/>
      </w:pPr>
      <w:r w:rsidRPr="00A07345">
        <w:t>Employment Standards Act. 2000. Retrieved from the Government of Ontario, June 1, 2015. http://www.ontario.ca/laws/statute/00e41</w:t>
      </w:r>
    </w:p>
    <w:p w:rsidR="00ED0E89" w:rsidRPr="00A07345" w:rsidRDefault="00ED0E89" w:rsidP="00763264">
      <w:pPr>
        <w:pStyle w:val="e1"/>
      </w:pPr>
      <w:r w:rsidRPr="00A07345">
        <w:t xml:space="preserve">Entertainment software Association Canada (ESAC) (2014) </w:t>
      </w:r>
      <w:r w:rsidRPr="00A07345">
        <w:rPr>
          <w:i/>
        </w:rPr>
        <w:t>Essential Facts 2014</w:t>
      </w:r>
      <w:r w:rsidRPr="00A07345">
        <w:t>, Toronto, Entertainment software Association Canada</w:t>
      </w:r>
    </w:p>
    <w:p w:rsidR="00ED0E89" w:rsidRPr="00A07345" w:rsidRDefault="00ED0E89" w:rsidP="00763264">
      <w:pPr>
        <w:pStyle w:val="e1"/>
      </w:pPr>
      <w:r w:rsidRPr="00A07345">
        <w:t xml:space="preserve">Gibb, Sheree J., </w:t>
      </w:r>
      <w:r w:rsidR="000C3889" w:rsidRPr="00A07345">
        <w:t xml:space="preserve">David M. </w:t>
      </w:r>
      <w:r w:rsidRPr="00A07345">
        <w:t xml:space="preserve">Fergusson, </w:t>
      </w:r>
      <w:r w:rsidR="000C3889" w:rsidRPr="00A07345">
        <w:t xml:space="preserve">L. John </w:t>
      </w:r>
      <w:proofErr w:type="spellStart"/>
      <w:r w:rsidR="000C3889" w:rsidRPr="00A07345">
        <w:t>Horwood</w:t>
      </w:r>
      <w:proofErr w:type="spellEnd"/>
      <w:r w:rsidRPr="00A07345">
        <w:t xml:space="preserve"> (2012) "Working hours and alcohol problems in early adulthood", </w:t>
      </w:r>
      <w:r w:rsidRPr="00A07345">
        <w:rPr>
          <w:rStyle w:val="Emphasis"/>
          <w:szCs w:val="12"/>
        </w:rPr>
        <w:t>Addiction</w:t>
      </w:r>
      <w:r w:rsidRPr="00A07345">
        <w:t>, 107(1): 81-88</w:t>
      </w:r>
    </w:p>
    <w:p w:rsidR="00ED0E89" w:rsidRPr="00A07345" w:rsidRDefault="00ED0E89" w:rsidP="00763264">
      <w:pPr>
        <w:pStyle w:val="e1"/>
      </w:pPr>
      <w:r w:rsidRPr="00A07345">
        <w:t xml:space="preserve">Green, Francis (2001) “It’s been a hard day’s night: The concentration and Intensification of work in late twentieth-Century Britain”, </w:t>
      </w:r>
      <w:r w:rsidRPr="00A07345">
        <w:rPr>
          <w:i/>
        </w:rPr>
        <w:t>British Journal of Industrial Relations</w:t>
      </w:r>
      <w:r w:rsidRPr="00A07345">
        <w:t>, 39(1): 53-80</w:t>
      </w:r>
    </w:p>
    <w:p w:rsidR="00ED0E89" w:rsidRPr="00A07345" w:rsidRDefault="00ED0E89" w:rsidP="00763264">
      <w:pPr>
        <w:pStyle w:val="e1"/>
      </w:pPr>
      <w:proofErr w:type="spellStart"/>
      <w:r w:rsidRPr="00A07345">
        <w:t>Handman</w:t>
      </w:r>
      <w:proofErr w:type="spellEnd"/>
      <w:r w:rsidRPr="00A07345">
        <w:t>, D</w:t>
      </w:r>
      <w:r w:rsidR="0072726B" w:rsidRPr="00A07345">
        <w:t>aniel</w:t>
      </w:r>
      <w:r w:rsidRPr="00A07345">
        <w:t xml:space="preserve">. H. (2005) ‘Electronic Arts settles a class action overtime lawsuit for $15.6 million: Red flags and practical lessons for the entertainment software industry’, </w:t>
      </w:r>
      <w:r w:rsidRPr="00A07345">
        <w:rPr>
          <w:i/>
        </w:rPr>
        <w:t>Entertainment Law Reporter</w:t>
      </w:r>
      <w:r w:rsidRPr="00A07345">
        <w:t xml:space="preserve">, 27(6), </w:t>
      </w:r>
      <w:hyperlink r:id="rId25" w:history="1">
        <w:r w:rsidRPr="00A07345">
          <w:rPr>
            <w:rStyle w:val="Hyperlink"/>
          </w:rPr>
          <w:t>http://elr.carolon.net/BI/v27n06.pdf</w:t>
        </w:r>
      </w:hyperlink>
    </w:p>
    <w:p w:rsidR="00ED0E89" w:rsidRPr="00A07345" w:rsidRDefault="00ED0E89" w:rsidP="00763264">
      <w:pPr>
        <w:pStyle w:val="e1"/>
      </w:pPr>
      <w:proofErr w:type="gramStart"/>
      <w:r w:rsidRPr="00A07345">
        <w:t xml:space="preserve">Hart, Robert A. &amp; Yue Ma (2008) “Wage-Hours Contracts, Overtime Working and Premium Pay”, </w:t>
      </w:r>
      <w:r w:rsidRPr="00A07345">
        <w:rPr>
          <w:i/>
        </w:rPr>
        <w:t>IZA Discussion Paper Series</w:t>
      </w:r>
      <w:r w:rsidRPr="00A07345">
        <w:t>, no. 3797, 42 p.</w:t>
      </w:r>
      <w:proofErr w:type="gramEnd"/>
    </w:p>
    <w:p w:rsidR="00ED0E89" w:rsidRPr="00A07345" w:rsidRDefault="00ED0E89" w:rsidP="00763264">
      <w:pPr>
        <w:pStyle w:val="e1"/>
      </w:pPr>
      <w:r w:rsidRPr="00A07345">
        <w:t xml:space="preserve">Hyman, Jeff. (2008, May 13) “Quality of life: Does anyone still give a damn?”, </w:t>
      </w:r>
      <w:proofErr w:type="spellStart"/>
      <w:r w:rsidRPr="00A07345">
        <w:rPr>
          <w:i/>
        </w:rPr>
        <w:t>Gamasutra</w:t>
      </w:r>
      <w:proofErr w:type="spellEnd"/>
      <w:r w:rsidRPr="00A07345">
        <w:t xml:space="preserve">, </w:t>
      </w:r>
      <w:hyperlink r:id="rId26" w:history="1">
        <w:r w:rsidRPr="00A07345">
          <w:rPr>
            <w:rStyle w:val="Hyperlink"/>
          </w:rPr>
          <w:t>http://www.gamasutra.com/view/feature/3656/quality_of_life_does_anyone_still_.php</w:t>
        </w:r>
      </w:hyperlink>
    </w:p>
    <w:p w:rsidR="00981EC0" w:rsidRPr="00A07345" w:rsidRDefault="00981EC0" w:rsidP="00763264">
      <w:pPr>
        <w:pStyle w:val="e1"/>
      </w:pPr>
      <w:r w:rsidRPr="00A07345">
        <w:t xml:space="preserve">Industrial Welfare Commission. (2002). Order No. 4-2001 Regulating Wages, Hours and Working Conditions in the Professional, Technical, Clerical, Mechanical and Similar Occupations. Department of Industrial Relations. State of California. </w:t>
      </w:r>
      <w:hyperlink r:id="rId27" w:history="1">
        <w:r w:rsidRPr="00A07345">
          <w:rPr>
            <w:rStyle w:val="Hyperlink"/>
          </w:rPr>
          <w:t>http://www.dir.ca.gov/IWC/IWCArticle4.pdf</w:t>
        </w:r>
      </w:hyperlink>
    </w:p>
    <w:p w:rsidR="00ED0E89" w:rsidRPr="00A07345" w:rsidRDefault="00ED0E89" w:rsidP="00763264">
      <w:pPr>
        <w:pStyle w:val="e1"/>
        <w:rPr>
          <w:lang w:eastAsia="fr-FR"/>
        </w:rPr>
      </w:pPr>
      <w:r w:rsidRPr="00A07345">
        <w:t xml:space="preserve">Ishida, Makoto (2000) “Death and Suicide from Overwork: the Japanese Workplace and Labour Law”, </w:t>
      </w:r>
      <w:r w:rsidRPr="00A07345">
        <w:rPr>
          <w:lang w:eastAsia="fr-FR"/>
        </w:rPr>
        <w:t xml:space="preserve">in Joanne </w:t>
      </w:r>
      <w:proofErr w:type="spellStart"/>
      <w:r w:rsidRPr="00A07345">
        <w:rPr>
          <w:lang w:eastAsia="fr-FR"/>
        </w:rPr>
        <w:t>Conaghan</w:t>
      </w:r>
      <w:proofErr w:type="spellEnd"/>
      <w:r w:rsidRPr="00A07345">
        <w:rPr>
          <w:lang w:eastAsia="fr-FR"/>
        </w:rPr>
        <w:t xml:space="preserve">, Richard Michael </w:t>
      </w:r>
      <w:proofErr w:type="spellStart"/>
      <w:r w:rsidRPr="00A07345">
        <w:rPr>
          <w:lang w:eastAsia="fr-FR"/>
        </w:rPr>
        <w:t>Fischl</w:t>
      </w:r>
      <w:proofErr w:type="spellEnd"/>
      <w:r w:rsidRPr="00A07345">
        <w:rPr>
          <w:lang w:eastAsia="fr-FR"/>
        </w:rPr>
        <w:t xml:space="preserve"> </w:t>
      </w:r>
      <w:r w:rsidR="000C3889" w:rsidRPr="00A07345">
        <w:rPr>
          <w:lang w:eastAsia="fr-FR"/>
        </w:rPr>
        <w:t>&amp;</w:t>
      </w:r>
      <w:r w:rsidRPr="00A07345">
        <w:rPr>
          <w:lang w:eastAsia="fr-FR"/>
        </w:rPr>
        <w:t xml:space="preserve"> Karl </w:t>
      </w:r>
      <w:proofErr w:type="spellStart"/>
      <w:r w:rsidRPr="00A07345">
        <w:rPr>
          <w:lang w:eastAsia="fr-FR"/>
        </w:rPr>
        <w:t>Klare</w:t>
      </w:r>
      <w:proofErr w:type="spellEnd"/>
      <w:r w:rsidRPr="00A07345">
        <w:rPr>
          <w:lang w:eastAsia="fr-FR"/>
        </w:rPr>
        <w:t xml:space="preserve"> (eds.), </w:t>
      </w:r>
      <w:r w:rsidRPr="00A07345">
        <w:rPr>
          <w:i/>
          <w:lang w:eastAsia="fr-FR"/>
        </w:rPr>
        <w:t xml:space="preserve">Labour Law in </w:t>
      </w:r>
      <w:proofErr w:type="spellStart"/>
      <w:r w:rsidRPr="00A07345">
        <w:rPr>
          <w:i/>
          <w:lang w:eastAsia="fr-FR"/>
        </w:rPr>
        <w:t>a</w:t>
      </w:r>
      <w:proofErr w:type="spellEnd"/>
      <w:r w:rsidRPr="00A07345">
        <w:rPr>
          <w:i/>
          <w:lang w:eastAsia="fr-FR"/>
        </w:rPr>
        <w:t xml:space="preserve"> Era of Globalisation: Transformative Practices and Possibilities</w:t>
      </w:r>
      <w:r w:rsidRPr="00A07345">
        <w:rPr>
          <w:lang w:eastAsia="fr-FR"/>
        </w:rPr>
        <w:t>, Oxford, Oxford University Press: 219-232</w:t>
      </w:r>
    </w:p>
    <w:p w:rsidR="00ED0E89" w:rsidRPr="00A07345" w:rsidRDefault="00ED0E89" w:rsidP="00763264">
      <w:pPr>
        <w:pStyle w:val="e1"/>
      </w:pPr>
      <w:r w:rsidRPr="00A07345">
        <w:t xml:space="preserve">Jacobs, Jerry A. </w:t>
      </w:r>
      <w:r w:rsidR="000C3889" w:rsidRPr="00A07345">
        <w:t>&amp;</w:t>
      </w:r>
      <w:r w:rsidRPr="00A07345">
        <w:t xml:space="preserve"> Kathleen Gerson (2001) “Overworked individuals or overworked families? Explaining trends in work, leisure and family time”, </w:t>
      </w:r>
      <w:r w:rsidRPr="00A07345">
        <w:rPr>
          <w:i/>
        </w:rPr>
        <w:t>Work and Occupations</w:t>
      </w:r>
      <w:r w:rsidRPr="00A07345">
        <w:t>, 28(1): 40-63</w:t>
      </w:r>
    </w:p>
    <w:p w:rsidR="00ED0E89" w:rsidRPr="00A07345" w:rsidRDefault="00ED0E89" w:rsidP="00763264">
      <w:pPr>
        <w:pStyle w:val="e1"/>
        <w:rPr>
          <w:lang w:eastAsia="fr-FR"/>
        </w:rPr>
      </w:pPr>
      <w:r w:rsidRPr="00A07345">
        <w:t>Kanai, Atsuko (2</w:t>
      </w:r>
      <w:r w:rsidR="000C3889" w:rsidRPr="00A07345">
        <w:t>009) ‘‘</w:t>
      </w:r>
      <w:proofErr w:type="spellStart"/>
      <w:r w:rsidR="000C3889" w:rsidRPr="00A07345">
        <w:t>Karoshi</w:t>
      </w:r>
      <w:proofErr w:type="spellEnd"/>
      <w:r w:rsidR="000C3889" w:rsidRPr="00A07345">
        <w:t xml:space="preserve"> (Work to Death)’</w:t>
      </w:r>
      <w:r w:rsidRPr="00A07345">
        <w:t xml:space="preserve"> in Japan”, </w:t>
      </w:r>
      <w:r w:rsidRPr="00A07345">
        <w:rPr>
          <w:i/>
        </w:rPr>
        <w:t>Journal of Business Ethics,</w:t>
      </w:r>
      <w:r w:rsidRPr="00A07345">
        <w:t xml:space="preserve"> 84: 209–216</w:t>
      </w:r>
    </w:p>
    <w:p w:rsidR="00ED0E89" w:rsidRPr="00A07345" w:rsidRDefault="00ED0E89" w:rsidP="00763264">
      <w:pPr>
        <w:pStyle w:val="e1"/>
      </w:pPr>
      <w:r w:rsidRPr="00A07345">
        <w:t>Kennedy, Sam (2007) “</w:t>
      </w:r>
      <w:proofErr w:type="spellStart"/>
      <w:r w:rsidRPr="00A07345">
        <w:t>Tose</w:t>
      </w:r>
      <w:proofErr w:type="spellEnd"/>
      <w:r w:rsidRPr="00A07345">
        <w:t xml:space="preserve">: Gaming’s Dirty Little Secret”, </w:t>
      </w:r>
      <w:r w:rsidRPr="00A07345">
        <w:rPr>
          <w:i/>
        </w:rPr>
        <w:t>1up.com: Where gamers call home,</w:t>
      </w:r>
      <w:r w:rsidRPr="00A07345">
        <w:t xml:space="preserve"> </w:t>
      </w:r>
      <w:hyperlink r:id="rId28" w:history="1">
        <w:r w:rsidRPr="00A07345">
          <w:rPr>
            <w:rStyle w:val="Hyperlink"/>
          </w:rPr>
          <w:t>www.1up.com/features/gaming-dirty-secret</w:t>
        </w:r>
      </w:hyperlink>
    </w:p>
    <w:p w:rsidR="00ED0E89" w:rsidRPr="00A07345" w:rsidRDefault="00ED0E89" w:rsidP="00763264">
      <w:pPr>
        <w:pStyle w:val="e1"/>
      </w:pPr>
      <w:r w:rsidRPr="00A07345">
        <w:t>Kobayashi, T</w:t>
      </w:r>
      <w:r w:rsidR="0072726B" w:rsidRPr="00A07345">
        <w:t>omoko,</w:t>
      </w:r>
      <w:r w:rsidRPr="00A07345">
        <w:t xml:space="preserve"> </w:t>
      </w:r>
      <w:proofErr w:type="spellStart"/>
      <w:r w:rsidR="0072726B" w:rsidRPr="00A07345">
        <w:t>Etsuji</w:t>
      </w:r>
      <w:proofErr w:type="spellEnd"/>
      <w:r w:rsidR="000C3889" w:rsidRPr="00A07345">
        <w:t xml:space="preserve"> </w:t>
      </w:r>
      <w:r w:rsidRPr="00A07345">
        <w:t xml:space="preserve">Suzuki, </w:t>
      </w:r>
      <w:proofErr w:type="spellStart"/>
      <w:r w:rsidR="0072726B" w:rsidRPr="00A07345">
        <w:t>Soshi</w:t>
      </w:r>
      <w:proofErr w:type="spellEnd"/>
      <w:r w:rsidR="000C3889" w:rsidRPr="00A07345">
        <w:t xml:space="preserve"> Takao</w:t>
      </w:r>
      <w:r w:rsidRPr="00A07345">
        <w:t xml:space="preserve"> &amp; </w:t>
      </w:r>
      <w:r w:rsidR="000C3889" w:rsidRPr="00A07345">
        <w:t>H</w:t>
      </w:r>
      <w:r w:rsidR="0072726B" w:rsidRPr="00A07345">
        <w:t>iroyuki</w:t>
      </w:r>
      <w:r w:rsidR="000C3889" w:rsidRPr="00A07345">
        <w:t xml:space="preserve"> </w:t>
      </w:r>
      <w:proofErr w:type="spellStart"/>
      <w:r w:rsidR="000C3889" w:rsidRPr="00A07345">
        <w:t>Doi</w:t>
      </w:r>
      <w:proofErr w:type="spellEnd"/>
      <w:r w:rsidRPr="00A07345">
        <w:t xml:space="preserve"> (2012) "Long working hours and metabolic syndrome among Japanese men: a cross-sectional study" </w:t>
      </w:r>
      <w:r w:rsidR="0072726B" w:rsidRPr="00A07345">
        <w:rPr>
          <w:rStyle w:val="Emphasis"/>
          <w:szCs w:val="12"/>
        </w:rPr>
        <w:t>BMC</w:t>
      </w:r>
      <w:r w:rsidRPr="00A07345">
        <w:rPr>
          <w:rStyle w:val="Emphasis"/>
          <w:szCs w:val="12"/>
        </w:rPr>
        <w:t xml:space="preserve"> Public Health</w:t>
      </w:r>
      <w:r w:rsidRPr="00A07345">
        <w:t>, 12</w:t>
      </w:r>
    </w:p>
    <w:p w:rsidR="00ED0E89" w:rsidRPr="00A07345" w:rsidRDefault="00ED0E89" w:rsidP="00763264">
      <w:pPr>
        <w:pStyle w:val="e1"/>
      </w:pPr>
      <w:r w:rsidRPr="00A07345">
        <w:t xml:space="preserve">Legault, Marie-Josée (2013) “IT firms’ working time (de)regulation model”, </w:t>
      </w:r>
      <w:r w:rsidRPr="00A07345">
        <w:rPr>
          <w:i/>
        </w:rPr>
        <w:t xml:space="preserve">Work, Organization, Labour and Globalisation, </w:t>
      </w:r>
      <w:r w:rsidRPr="00A07345">
        <w:t xml:space="preserve">on line, 7(1) </w:t>
      </w:r>
    </w:p>
    <w:p w:rsidR="00ED0E89" w:rsidRPr="00A07345" w:rsidRDefault="00ED0E89" w:rsidP="00763264">
      <w:pPr>
        <w:pStyle w:val="e1"/>
      </w:pPr>
      <w:r w:rsidRPr="00A07345">
        <w:tab/>
      </w:r>
      <w:hyperlink r:id="rId29" w:history="1">
        <w:r w:rsidRPr="00A07345">
          <w:rPr>
            <w:rStyle w:val="Hyperlink"/>
          </w:rPr>
          <w:t>http://analytica.metapress.com/content/121034/</w:t>
        </w:r>
      </w:hyperlink>
    </w:p>
    <w:p w:rsidR="00ED0E89" w:rsidRPr="00A07345" w:rsidRDefault="00ED0E89" w:rsidP="00763264">
      <w:pPr>
        <w:pStyle w:val="e1"/>
      </w:pPr>
      <w:r w:rsidRPr="00A07345">
        <w:t xml:space="preserve">Legault, Marie-Josée &amp; Stéphanie Chasserio (2012) “Professionalization, risk transfer, and the effect on gender gap in project management”, </w:t>
      </w:r>
      <w:r w:rsidRPr="00A07345">
        <w:rPr>
          <w:i/>
        </w:rPr>
        <w:t xml:space="preserve">International Journal of Project </w:t>
      </w:r>
      <w:r w:rsidRPr="00A07345">
        <w:rPr>
          <w:i/>
        </w:rPr>
        <w:lastRenderedPageBreak/>
        <w:t>Management</w:t>
      </w:r>
      <w:r w:rsidRPr="00A07345">
        <w:t>, 30(6): 697-707</w:t>
      </w:r>
    </w:p>
    <w:p w:rsidR="00ED0E89" w:rsidRPr="00A07345" w:rsidRDefault="00ED0E89" w:rsidP="00763264">
      <w:pPr>
        <w:pStyle w:val="e1"/>
      </w:pPr>
      <w:r w:rsidRPr="00A07345">
        <w:tab/>
      </w:r>
      <w:hyperlink r:id="rId30" w:history="1">
        <w:r w:rsidRPr="00A07345">
          <w:rPr>
            <w:rStyle w:val="Hyperlink"/>
          </w:rPr>
          <w:t>http://dx.doi.org/10.1016/j.ijproman.2011.11.004</w:t>
        </w:r>
      </w:hyperlink>
    </w:p>
    <w:p w:rsidR="00ED0E89" w:rsidRPr="00A07345" w:rsidRDefault="00ED0E89" w:rsidP="00763264">
      <w:pPr>
        <w:pStyle w:val="e1"/>
      </w:pPr>
      <w:r w:rsidRPr="00A07345">
        <w:t xml:space="preserve">Legault, Marie-Josée &amp; Kathleen Ouellet (2012) « So into it they forget what time it is? </w:t>
      </w:r>
      <w:r w:rsidRPr="00A07345">
        <w:rPr>
          <w:lang w:val="en-GB"/>
        </w:rPr>
        <w:t>Video game designers and unpaid overtime</w:t>
      </w:r>
      <w:r w:rsidRPr="00A07345">
        <w:t xml:space="preserve"> », in Dariusz Jemielniak </w:t>
      </w:r>
      <w:r w:rsidR="000C3889" w:rsidRPr="00A07345">
        <w:t>&amp;</w:t>
      </w:r>
      <w:r w:rsidRPr="00A07345">
        <w:t xml:space="preserve"> Abigail Marks (</w:t>
      </w:r>
      <w:proofErr w:type="spellStart"/>
      <w:r w:rsidRPr="00A07345">
        <w:t>eds</w:t>
      </w:r>
      <w:proofErr w:type="spellEnd"/>
      <w:r w:rsidRPr="00A07345">
        <w:t xml:space="preserve">), </w:t>
      </w:r>
      <w:r w:rsidRPr="00A07345">
        <w:rPr>
          <w:i/>
        </w:rPr>
        <w:t>Managing Dynamic Technology-Oriented Business: High-Tech Organizations and Workplaces</w:t>
      </w:r>
      <w:r w:rsidRPr="00A07345">
        <w:t>, Hershey, IGI Global, coll. Information Science Reference: 82-102</w:t>
      </w:r>
    </w:p>
    <w:p w:rsidR="00ED0E89" w:rsidRPr="00A07345" w:rsidRDefault="00411118" w:rsidP="0072726B">
      <w:pPr>
        <w:pStyle w:val="e1"/>
        <w:ind w:firstLine="0"/>
      </w:pPr>
      <w:hyperlink r:id="rId31" w:history="1">
        <w:r w:rsidR="00ED0E89" w:rsidRPr="00A07345">
          <w:rPr>
            <w:rStyle w:val="Hyperlink"/>
          </w:rPr>
          <w:t>http://www.igi-global.com/book/managing-dynamic-technology-oriented-businesses/62632</w:t>
        </w:r>
      </w:hyperlink>
    </w:p>
    <w:p w:rsidR="00ED0E89" w:rsidRPr="00A07345" w:rsidRDefault="00ED0E89" w:rsidP="00763264">
      <w:pPr>
        <w:pStyle w:val="e1"/>
      </w:pPr>
      <w:r w:rsidRPr="00A07345">
        <w:t xml:space="preserve">Legault, Marie-Josée &amp; Johanna Weststar (2012) </w:t>
      </w:r>
      <w:r w:rsidRPr="00A07345">
        <w:rPr>
          <w:i/>
        </w:rPr>
        <w:t>Quality of Life in the Game Industry. Report of the Quality of Life survey 2009</w:t>
      </w:r>
      <w:r w:rsidRPr="00A07345">
        <w:t xml:space="preserve">, commissioned by the International game developers’ association (IGDA) </w:t>
      </w:r>
      <w:hyperlink r:id="rId32" w:history="1">
        <w:r w:rsidRPr="00A07345">
          <w:rPr>
            <w:rStyle w:val="Hyperlink"/>
          </w:rPr>
          <w:t>http://gameqol.org</w:t>
        </w:r>
      </w:hyperlink>
    </w:p>
    <w:p w:rsidR="00ED0E89" w:rsidRPr="00A07345" w:rsidRDefault="00ED0E89" w:rsidP="00763264">
      <w:pPr>
        <w:pStyle w:val="e1"/>
        <w:rPr>
          <w:lang w:val="fr-CA"/>
        </w:rPr>
      </w:pPr>
      <w:r w:rsidRPr="00A07345">
        <w:rPr>
          <w:lang w:val="fr-CA"/>
        </w:rPr>
        <w:t>Legault, Marie</w:t>
      </w:r>
      <w:r w:rsidR="0072726B" w:rsidRPr="00A07345">
        <w:rPr>
          <w:lang w:val="fr-CA"/>
        </w:rPr>
        <w:t>-Josée &amp; Johanna Weststar (2014</w:t>
      </w:r>
      <w:r w:rsidRPr="00A07345">
        <w:rPr>
          <w:lang w:val="fr-CA"/>
        </w:rPr>
        <w:t xml:space="preserve">) “Comment jouer la régulation dans l’industrie du jeu vidéo?”, </w:t>
      </w:r>
      <w:r w:rsidR="0072726B" w:rsidRPr="00A07345">
        <w:rPr>
          <w:i/>
          <w:lang w:val="fr-CA"/>
        </w:rPr>
        <w:t>Relations industrielles</w:t>
      </w:r>
      <w:r w:rsidRPr="00A07345">
        <w:rPr>
          <w:i/>
          <w:lang w:val="fr-CA"/>
        </w:rPr>
        <w:t>–</w:t>
      </w:r>
      <w:proofErr w:type="spellStart"/>
      <w:r w:rsidRPr="00A07345">
        <w:rPr>
          <w:i/>
          <w:lang w:val="fr-CA"/>
        </w:rPr>
        <w:t>Industrial</w:t>
      </w:r>
      <w:proofErr w:type="spellEnd"/>
      <w:r w:rsidRPr="00A07345">
        <w:rPr>
          <w:i/>
          <w:lang w:val="fr-CA"/>
        </w:rPr>
        <w:t xml:space="preserve"> Relations</w:t>
      </w:r>
      <w:r w:rsidRPr="00A07345">
        <w:rPr>
          <w:lang w:val="fr-CA"/>
        </w:rPr>
        <w:t>, 69(1): 136-158</w:t>
      </w:r>
    </w:p>
    <w:p w:rsidR="00ED0E89" w:rsidRPr="00A07345" w:rsidRDefault="00ED0E89" w:rsidP="00763264">
      <w:pPr>
        <w:pStyle w:val="e1"/>
        <w:rPr>
          <w:lang w:val="fr-CA"/>
        </w:rPr>
      </w:pPr>
      <w:r w:rsidRPr="00A07345">
        <w:rPr>
          <w:lang w:val="fr-FR"/>
        </w:rPr>
        <w:t xml:space="preserve">Legault, Marie-Josée &amp; Martine D’Amours (2011) </w:t>
      </w:r>
      <w:r w:rsidR="000C3889" w:rsidRPr="00A07345">
        <w:rPr>
          <w:lang w:val="fr-CA"/>
        </w:rPr>
        <w:t>“</w:t>
      </w:r>
      <w:r w:rsidRPr="00A07345">
        <w:rPr>
          <w:lang w:val="fr-CA"/>
        </w:rPr>
        <w:t>Représentation collective et citoyenneté au travail en contexte de projet. Les cas des artistes interprètes et des concepteurs de jeux vidéo</w:t>
      </w:r>
      <w:r w:rsidR="000C3889" w:rsidRPr="00A07345">
        <w:rPr>
          <w:lang w:val="fr-CA"/>
        </w:rPr>
        <w:t>”</w:t>
      </w:r>
      <w:r w:rsidRPr="00A07345">
        <w:rPr>
          <w:lang w:val="fr-CA"/>
        </w:rPr>
        <w:t xml:space="preserve">, </w:t>
      </w:r>
      <w:r w:rsidR="0072726B" w:rsidRPr="00A07345">
        <w:rPr>
          <w:i/>
          <w:lang w:val="fr-CA"/>
        </w:rPr>
        <w:t>Relations industrielles</w:t>
      </w:r>
      <w:r w:rsidRPr="00A07345">
        <w:rPr>
          <w:i/>
          <w:lang w:val="fr-CA"/>
        </w:rPr>
        <w:t>–</w:t>
      </w:r>
      <w:proofErr w:type="spellStart"/>
      <w:r w:rsidRPr="00A07345">
        <w:rPr>
          <w:i/>
          <w:lang w:val="fr-CA"/>
        </w:rPr>
        <w:t>Industrial</w:t>
      </w:r>
      <w:proofErr w:type="spellEnd"/>
      <w:r w:rsidRPr="00A07345">
        <w:rPr>
          <w:i/>
          <w:lang w:val="fr-CA"/>
        </w:rPr>
        <w:t xml:space="preserve"> Relations</w:t>
      </w:r>
      <w:r w:rsidRPr="00A07345">
        <w:rPr>
          <w:lang w:val="fr-CA"/>
        </w:rPr>
        <w:t>, (66)4: 655-677</w:t>
      </w:r>
    </w:p>
    <w:p w:rsidR="00ED0E89" w:rsidRPr="00A07345" w:rsidRDefault="00B071E0" w:rsidP="0072726B">
      <w:pPr>
        <w:pStyle w:val="e1"/>
        <w:ind w:firstLine="0"/>
        <w:rPr>
          <w:lang w:val="fr-CA"/>
        </w:rPr>
      </w:pPr>
      <w:r>
        <w:fldChar w:fldCharType="begin"/>
      </w:r>
      <w:r>
        <w:fldChar w:fldCharType="separate"/>
      </w:r>
      <w:r w:rsidR="00ED0E89" w:rsidRPr="00A07345">
        <w:rPr>
          <w:rStyle w:val="Hyperlink"/>
          <w:lang w:val="fr-CA"/>
        </w:rPr>
        <w:t>http://www.erudit.org/revue/ri/2011/v66/n4/index.html</w:t>
      </w:r>
      <w:r>
        <w:rPr>
          <w:rStyle w:val="Hyperlink"/>
          <w:lang w:val="fr-CA"/>
        </w:rPr>
        <w:fldChar w:fldCharType="end"/>
      </w:r>
    </w:p>
    <w:p w:rsidR="009361D5" w:rsidRPr="00A07345" w:rsidRDefault="009361D5" w:rsidP="009361D5">
      <w:pPr>
        <w:pStyle w:val="e1"/>
      </w:pPr>
      <w:proofErr w:type="gramStart"/>
      <w:r w:rsidRPr="00A07345">
        <w:t xml:space="preserve">Legault, Marie-Josée &amp; Johanna Weststar (2012) </w:t>
      </w:r>
      <w:r w:rsidRPr="00A07345">
        <w:rPr>
          <w:i/>
        </w:rPr>
        <w:t>Quality of Life in the Game Industry.</w:t>
      </w:r>
      <w:proofErr w:type="gramEnd"/>
      <w:r w:rsidRPr="00A07345">
        <w:rPr>
          <w:i/>
        </w:rPr>
        <w:t xml:space="preserve"> Report of the Quality of Life survey 2009</w:t>
      </w:r>
      <w:r w:rsidRPr="00A07345">
        <w:t xml:space="preserve">, commissioned by the International game developers’ association (IGDA) </w:t>
      </w:r>
      <w:hyperlink r:id="rId33" w:history="1">
        <w:r w:rsidRPr="00A07345">
          <w:rPr>
            <w:rStyle w:val="Hyperlink"/>
          </w:rPr>
          <w:t>http://gameqol.org</w:t>
        </w:r>
      </w:hyperlink>
    </w:p>
    <w:p w:rsidR="004433BD" w:rsidRPr="00A07345" w:rsidRDefault="004433BD" w:rsidP="004433BD">
      <w:pPr>
        <w:pStyle w:val="e1"/>
        <w:rPr>
          <w:rFonts w:cs="Arial"/>
          <w:shd w:val="clear" w:color="auto" w:fill="FFFFFF"/>
        </w:rPr>
      </w:pPr>
      <w:r w:rsidRPr="00A07345">
        <w:t>Legault, Marie-Josée &amp; Johanna Weststar (2015) “</w:t>
      </w:r>
      <w:r w:rsidRPr="00A07345">
        <w:rPr>
          <w:shd w:val="clear" w:color="auto" w:fill="FFFFFF"/>
        </w:rPr>
        <w:t>The Capacity for Mobilization in Project-Based Cultural Work: A Case of the Video Game Industry</w:t>
      </w:r>
      <w:r w:rsidRPr="00A07345">
        <w:rPr>
          <w:lang w:eastAsia="fr-FR"/>
        </w:rPr>
        <w:t>”</w:t>
      </w:r>
      <w:r w:rsidRPr="00A07345">
        <w:t xml:space="preserve">, </w:t>
      </w:r>
      <w:r w:rsidRPr="00A07345">
        <w:rPr>
          <w:rFonts w:cs="Arial"/>
          <w:i/>
          <w:shd w:val="clear" w:color="auto" w:fill="FFFFFF"/>
        </w:rPr>
        <w:t>Canadian Journal of Communication</w:t>
      </w:r>
      <w:r w:rsidRPr="00A07345">
        <w:rPr>
          <w:shd w:val="clear" w:color="auto" w:fill="FFFFFF"/>
        </w:rPr>
        <w:t xml:space="preserve">, special issue on </w:t>
      </w:r>
      <w:r w:rsidRPr="00A07345">
        <w:rPr>
          <w:rFonts w:cs="Arial"/>
          <w:shd w:val="clear" w:color="auto" w:fill="FFFFFF"/>
        </w:rPr>
        <w:t xml:space="preserve">Cultural Production in Canada, vol. 40, no 2, p. 203-221 </w:t>
      </w:r>
      <w:hyperlink r:id="rId34" w:history="1">
        <w:r w:rsidRPr="00A07345">
          <w:rPr>
            <w:rStyle w:val="Hyperlink"/>
            <w:rFonts w:cs="Arial"/>
            <w:shd w:val="clear" w:color="auto" w:fill="FFFFFF"/>
            <w:lang w:val="en-US"/>
          </w:rPr>
          <w:t>http://www.cjc-online.ca/index.php/journal</w:t>
        </w:r>
      </w:hyperlink>
    </w:p>
    <w:p w:rsidR="00ED0E89" w:rsidRPr="00A07345" w:rsidRDefault="00ED0E89" w:rsidP="00763264">
      <w:pPr>
        <w:pStyle w:val="e1"/>
      </w:pPr>
      <w:proofErr w:type="spellStart"/>
      <w:r w:rsidRPr="00A07345">
        <w:t>Mizunoya</w:t>
      </w:r>
      <w:proofErr w:type="spellEnd"/>
      <w:r w:rsidRPr="00A07345">
        <w:t xml:space="preserve">, Takeshi (2002) </w:t>
      </w:r>
      <w:r w:rsidRPr="00A07345">
        <w:rPr>
          <w:lang w:eastAsia="fr-FR"/>
        </w:rPr>
        <w:t xml:space="preserve">“An International Comparison of Unpaid Overtime Work </w:t>
      </w:r>
      <w:proofErr w:type="gramStart"/>
      <w:r w:rsidRPr="00A07345">
        <w:rPr>
          <w:lang w:eastAsia="fr-FR"/>
        </w:rPr>
        <w:t>Among</w:t>
      </w:r>
      <w:proofErr w:type="gramEnd"/>
      <w:r w:rsidRPr="00A07345">
        <w:rPr>
          <w:lang w:eastAsia="fr-FR"/>
        </w:rPr>
        <w:t xml:space="preserve"> Industrialized Countries”, </w:t>
      </w:r>
      <w:r w:rsidRPr="00A07345">
        <w:rPr>
          <w:i/>
        </w:rPr>
        <w:t>Journal of the Society of Economic Statistics</w:t>
      </w:r>
      <w:r w:rsidRPr="00A07345">
        <w:t xml:space="preserve"> (81)</w:t>
      </w:r>
    </w:p>
    <w:p w:rsidR="00ED0E89" w:rsidRPr="00A07345" w:rsidRDefault="00ED0E89" w:rsidP="00763264">
      <w:pPr>
        <w:pStyle w:val="e1"/>
      </w:pPr>
      <w:r w:rsidRPr="00A07345">
        <w:rPr>
          <w:lang w:eastAsia="fr-FR"/>
        </w:rPr>
        <w:tab/>
      </w:r>
      <w:hyperlink r:id="rId35" w:history="1">
        <w:r w:rsidRPr="00A07345">
          <w:rPr>
            <w:rStyle w:val="Hyperlink"/>
            <w:lang w:eastAsia="fr-FR"/>
          </w:rPr>
          <w:t>http://www.ilo.org/public/english/bureau/stat/download/articles/2002-3.pdf</w:t>
        </w:r>
      </w:hyperlink>
    </w:p>
    <w:p w:rsidR="00ED0E89" w:rsidRPr="00A07345" w:rsidRDefault="00ED0E89" w:rsidP="00763264">
      <w:pPr>
        <w:pStyle w:val="e1"/>
        <w:rPr>
          <w:color w:val="000000"/>
          <w:lang w:eastAsia="en-US"/>
        </w:rPr>
      </w:pPr>
      <w:proofErr w:type="spellStart"/>
      <w:r w:rsidRPr="00A07345">
        <w:t>Nordicity</w:t>
      </w:r>
      <w:proofErr w:type="spellEnd"/>
      <w:r w:rsidRPr="00A07345">
        <w:t xml:space="preserve"> (2013)</w:t>
      </w:r>
      <w:r w:rsidRPr="00A07345">
        <w:rPr>
          <w:color w:val="000000"/>
          <w:szCs w:val="24"/>
          <w:lang w:eastAsia="en-US"/>
        </w:rPr>
        <w:t xml:space="preserve"> </w:t>
      </w:r>
      <w:r w:rsidRPr="00A07345">
        <w:rPr>
          <w:i/>
          <w:lang w:eastAsia="en-US"/>
        </w:rPr>
        <w:t xml:space="preserve">Canada’s Video Game Industry in 2013. </w:t>
      </w:r>
      <w:r w:rsidRPr="00A07345">
        <w:rPr>
          <w:i/>
        </w:rPr>
        <w:t>Final Report</w:t>
      </w:r>
      <w:r w:rsidRPr="00A07345">
        <w:t xml:space="preserve">, </w:t>
      </w:r>
      <w:r w:rsidRPr="00A07345">
        <w:rPr>
          <w:lang w:eastAsia="en-US"/>
        </w:rPr>
        <w:t xml:space="preserve">Prepared for </w:t>
      </w:r>
      <w:r w:rsidRPr="00A07345">
        <w:rPr>
          <w:color w:val="000000"/>
          <w:lang w:eastAsia="en-US"/>
        </w:rPr>
        <w:t xml:space="preserve">Entertainment Software Association of Canada, </w:t>
      </w:r>
      <w:hyperlink r:id="rId36" w:history="1">
        <w:r w:rsidRPr="00A07345">
          <w:rPr>
            <w:rStyle w:val="Hyperlink"/>
            <w:lang w:eastAsia="en-US"/>
          </w:rPr>
          <w:t>http://theesa.ca/wp-content/uploads/2013/10/ESAC-Video-Games-Profile-2013-FINAL-2013-10-21-CIRC.pdf</w:t>
        </w:r>
      </w:hyperlink>
    </w:p>
    <w:p w:rsidR="00C575D9" w:rsidRPr="00A07345" w:rsidRDefault="00C575D9" w:rsidP="009F1A12">
      <w:pPr>
        <w:pStyle w:val="e1"/>
      </w:pPr>
      <w:r w:rsidRPr="00A07345">
        <w:t xml:space="preserve">Ontario Regulation 285/01. 2014. Exemptions, Special Rules and Establishment of Minimum Wage, O </w:t>
      </w:r>
      <w:proofErr w:type="spellStart"/>
      <w:r w:rsidRPr="00A07345">
        <w:t>Reg</w:t>
      </w:r>
      <w:proofErr w:type="spellEnd"/>
      <w:r w:rsidRPr="00A07345">
        <w:t xml:space="preserve"> 285/01. Obtained from the Canadian Legal Information Institute. June 1, 2015.</w:t>
      </w:r>
      <w:r w:rsidR="00B117A4" w:rsidRPr="00A07345">
        <w:t xml:space="preserve"> </w:t>
      </w:r>
      <w:r w:rsidRPr="00A07345">
        <w:t>https://www.canlii.org/en/on/laws/regu/o-reg-285-01/latest/o-reg-285-01.html</w:t>
      </w:r>
    </w:p>
    <w:p w:rsidR="005321B0" w:rsidRPr="00A07345" w:rsidRDefault="005321B0" w:rsidP="009F1A12">
      <w:pPr>
        <w:pStyle w:val="e1"/>
      </w:pPr>
      <w:r w:rsidRPr="00A07345">
        <w:rPr>
          <w:rFonts w:cs="Arial"/>
          <w:shd w:val="clear" w:color="auto" w:fill="FFFFFF"/>
        </w:rPr>
        <w:t xml:space="preserve">Ontario Regulation 552/05. </w:t>
      </w:r>
      <w:r w:rsidR="00B745BB" w:rsidRPr="00A07345">
        <w:rPr>
          <w:rFonts w:cs="Arial"/>
          <w:shd w:val="clear" w:color="auto" w:fill="FFFFFF"/>
        </w:rPr>
        <w:t xml:space="preserve">2005. </w:t>
      </w:r>
      <w:r w:rsidRPr="00A07345">
        <w:t>Amending O. Reg. 285/01</w:t>
      </w:r>
      <w:r w:rsidR="00B745BB" w:rsidRPr="00A07345">
        <w:t xml:space="preserve"> (</w:t>
      </w:r>
      <w:r w:rsidRPr="00A07345">
        <w:t>Exemptions, Special Rules an</w:t>
      </w:r>
      <w:r w:rsidR="00B745BB" w:rsidRPr="00A07345">
        <w:t xml:space="preserve">d Establishment of Minimum Wage). </w:t>
      </w:r>
      <w:r w:rsidR="00B745BB" w:rsidRPr="00A07345">
        <w:rPr>
          <w:i/>
        </w:rPr>
        <w:t>Ontario Gazette</w:t>
      </w:r>
      <w:r w:rsidR="00B745BB" w:rsidRPr="00A07345">
        <w:t xml:space="preserve">, Nov 12, 2005. </w:t>
      </w:r>
      <w:r w:rsidRPr="00A07345">
        <w:rPr>
          <w:rFonts w:cs="Arial"/>
          <w:shd w:val="clear" w:color="auto" w:fill="FFFFFF"/>
        </w:rPr>
        <w:t>http://files.ontariogovernment.ca/gazette_docs/138-46.pdf</w:t>
      </w:r>
    </w:p>
    <w:p w:rsidR="00ED0E89" w:rsidRPr="00A07345" w:rsidRDefault="00ED0E89" w:rsidP="00763264">
      <w:pPr>
        <w:pStyle w:val="e1"/>
      </w:pPr>
      <w:r w:rsidRPr="00A07345">
        <w:t xml:space="preserve">O’Reilly, Dermot &amp; Michael </w:t>
      </w:r>
      <w:proofErr w:type="spellStart"/>
      <w:r w:rsidRPr="00A07345">
        <w:t>Rosato</w:t>
      </w:r>
      <w:proofErr w:type="spellEnd"/>
      <w:r w:rsidRPr="00A07345">
        <w:t xml:space="preserve"> (2013) "Worked to death? A census-based longitudinal study of the relationship between the numbers of hours spent working and mortality risk", </w:t>
      </w:r>
      <w:r w:rsidRPr="00A07345">
        <w:rPr>
          <w:rStyle w:val="Emphasis"/>
          <w:szCs w:val="12"/>
        </w:rPr>
        <w:t>International Journal of Epidemiology</w:t>
      </w:r>
      <w:r w:rsidRPr="00A07345">
        <w:t>, 42(6): 1820-1830</w:t>
      </w:r>
    </w:p>
    <w:p w:rsidR="00AE2DEA" w:rsidRPr="00A07345" w:rsidRDefault="000C3889" w:rsidP="00AE2DEA">
      <w:pPr>
        <w:pStyle w:val="e1"/>
        <w:jc w:val="left"/>
      </w:pPr>
      <w:proofErr w:type="spellStart"/>
      <w:r w:rsidRPr="00A07345">
        <w:lastRenderedPageBreak/>
        <w:t>Rockstar</w:t>
      </w:r>
      <w:proofErr w:type="spellEnd"/>
      <w:r w:rsidRPr="00A07345">
        <w:t xml:space="preserve"> Spouse (2010) “</w:t>
      </w:r>
      <w:r w:rsidR="00ED0E89" w:rsidRPr="00A07345">
        <w:t xml:space="preserve">Wives of </w:t>
      </w:r>
      <w:proofErr w:type="spellStart"/>
      <w:r w:rsidR="00ED0E89" w:rsidRPr="00A07345">
        <w:t>Rockstar</w:t>
      </w:r>
      <w:proofErr w:type="spellEnd"/>
      <w:r w:rsidR="00ED0E89" w:rsidRPr="00A07345">
        <w:t xml:space="preserve"> San Diego empl</w:t>
      </w:r>
      <w:r w:rsidRPr="00A07345">
        <w:t xml:space="preserve">oyees have collected </w:t>
      </w:r>
      <w:r w:rsidR="00AE2DEA" w:rsidRPr="00A07345">
        <w:t>themselves”</w:t>
      </w:r>
      <w:r w:rsidR="00ED0E89" w:rsidRPr="00A07345">
        <w:t xml:space="preserve"> </w:t>
      </w:r>
      <w:proofErr w:type="spellStart"/>
      <w:r w:rsidR="00AE2DEA" w:rsidRPr="00A07345">
        <w:rPr>
          <w:i/>
        </w:rPr>
        <w:t>Gamasutra</w:t>
      </w:r>
      <w:proofErr w:type="spellEnd"/>
      <w:r w:rsidR="00AE2DEA" w:rsidRPr="00A07345">
        <w:rPr>
          <w:i/>
        </w:rPr>
        <w:t xml:space="preserve"> Blog</w:t>
      </w:r>
      <w:r w:rsidR="00AE2DEA" w:rsidRPr="00A07345">
        <w:t xml:space="preserve">, January 7 </w:t>
      </w:r>
      <w:hyperlink r:id="rId37" w:history="1">
        <w:r w:rsidR="00ED0E89" w:rsidRPr="00A07345">
          <w:rPr>
            <w:rStyle w:val="Hyperlink"/>
            <w:color w:val="0070C0"/>
          </w:rPr>
          <w:t>http://www.gamasutra.com/blogs/RockstarSpouse/20100107/4032/Wives_of_Rockstar_San_Diego_employees_have_collected_themselves.php</w:t>
        </w:r>
      </w:hyperlink>
    </w:p>
    <w:p w:rsidR="00ED0E89" w:rsidRPr="00A07345" w:rsidRDefault="00ED0E89" w:rsidP="00AE2DEA">
      <w:pPr>
        <w:pStyle w:val="e1"/>
        <w:jc w:val="left"/>
      </w:pPr>
      <w:r w:rsidRPr="00A07345">
        <w:t xml:space="preserve">Scott, Sean R. (2014) </w:t>
      </w:r>
      <w:r w:rsidR="000C3889" w:rsidRPr="00A07345">
        <w:t>“</w:t>
      </w:r>
      <w:r w:rsidRPr="00A07345">
        <w:t>Maintaining Quality of Life as a Game Developer, Entrepreneur, and Parent</w:t>
      </w:r>
      <w:r w:rsidR="000C3889" w:rsidRPr="00A07345">
        <w:t>”</w:t>
      </w:r>
      <w:r w:rsidR="00AE2DEA" w:rsidRPr="00A07345">
        <w:t xml:space="preserve">, </w:t>
      </w:r>
      <w:r w:rsidR="00AE2DEA" w:rsidRPr="00A07345">
        <w:rPr>
          <w:i/>
        </w:rPr>
        <w:t>IGDA P</w:t>
      </w:r>
      <w:r w:rsidRPr="00A07345">
        <w:rPr>
          <w:i/>
        </w:rPr>
        <w:t>erspectives</w:t>
      </w:r>
      <w:r w:rsidRPr="00A07345">
        <w:t xml:space="preserve"> newsletter, August 31, </w:t>
      </w:r>
      <w:hyperlink r:id="rId38" w:history="1">
        <w:r w:rsidRPr="00A07345">
          <w:rPr>
            <w:rStyle w:val="Hyperlink"/>
          </w:rPr>
          <w:t>http://newsletter.igda.org/2014/08/31/maintaining-quality-of-life-as-a-game-developer-entrepreneur-and-parent/</w:t>
        </w:r>
      </w:hyperlink>
    </w:p>
    <w:p w:rsidR="00ED0E89" w:rsidRPr="00A07345" w:rsidRDefault="00ED0E89" w:rsidP="00763264">
      <w:pPr>
        <w:pStyle w:val="e1"/>
      </w:pPr>
      <w:r w:rsidRPr="00A07345">
        <w:t xml:space="preserve">Sinclair, Brendan (2015) </w:t>
      </w:r>
      <w:r w:rsidR="000C3889" w:rsidRPr="00A07345">
        <w:t>“</w:t>
      </w:r>
      <w:r w:rsidRPr="00A07345">
        <w:t>Research firm projects 9.4% growth in global revenues with Chinese market overtaking US</w:t>
      </w:r>
      <w:r w:rsidR="000C3889" w:rsidRPr="00A07345">
        <w:t>”</w:t>
      </w:r>
      <w:r w:rsidRPr="00A07345">
        <w:t xml:space="preserve">, </w:t>
      </w:r>
      <w:r w:rsidRPr="00A07345">
        <w:rPr>
          <w:i/>
        </w:rPr>
        <w:t>GamesIndustry.biz</w:t>
      </w:r>
      <w:r w:rsidRPr="00A07345">
        <w:t xml:space="preserve">, 22 </w:t>
      </w:r>
      <w:proofErr w:type="spellStart"/>
      <w:r w:rsidRPr="00A07345">
        <w:t>avril</w:t>
      </w:r>
      <w:proofErr w:type="spellEnd"/>
      <w:r w:rsidRPr="00A07345">
        <w:t>:</w:t>
      </w:r>
    </w:p>
    <w:p w:rsidR="00ED0E89" w:rsidRPr="00A07345" w:rsidRDefault="00411118" w:rsidP="00763264">
      <w:pPr>
        <w:pStyle w:val="e1"/>
      </w:pPr>
      <w:hyperlink r:id="rId39" w:history="1">
        <w:r w:rsidR="00ED0E89" w:rsidRPr="00A07345">
          <w:rPr>
            <w:rStyle w:val="Hyperlink"/>
          </w:rPr>
          <w:t>http://www.gamesindustry.biz/articles/2015-04-22-gaming-will-hit-usd91-5-billion-this-year-newzoo</w:t>
        </w:r>
      </w:hyperlink>
    </w:p>
    <w:p w:rsidR="00ED0E89" w:rsidRPr="00A07345" w:rsidRDefault="00ED0E89" w:rsidP="00763264">
      <w:pPr>
        <w:pStyle w:val="e1"/>
      </w:pPr>
      <w:proofErr w:type="spellStart"/>
      <w:r w:rsidRPr="00A07345">
        <w:t>Siwek</w:t>
      </w:r>
      <w:proofErr w:type="spellEnd"/>
      <w:r w:rsidRPr="00A07345">
        <w:t xml:space="preserve">, Stephen E. (2014) </w:t>
      </w:r>
      <w:r w:rsidRPr="00A07345">
        <w:rPr>
          <w:i/>
        </w:rPr>
        <w:t>Video games in the 21</w:t>
      </w:r>
      <w:r w:rsidRPr="00A07345">
        <w:rPr>
          <w:i/>
          <w:vertAlign w:val="superscript"/>
        </w:rPr>
        <w:t>st</w:t>
      </w:r>
      <w:r w:rsidRPr="00A07345">
        <w:rPr>
          <w:i/>
        </w:rPr>
        <w:t xml:space="preserve"> century. The 2014 report</w:t>
      </w:r>
      <w:r w:rsidRPr="00A07345">
        <w:t>. Washington, Entertainment Software Association</w:t>
      </w:r>
    </w:p>
    <w:p w:rsidR="00ED0E89" w:rsidRPr="00A07345" w:rsidRDefault="00ED0E89" w:rsidP="00763264">
      <w:pPr>
        <w:pStyle w:val="e1"/>
      </w:pPr>
      <w:r w:rsidRPr="00A07345">
        <w:t>TIGA (The Independent Game Developers' Association) (2015) “</w:t>
      </w:r>
      <w:r w:rsidR="00AE2DEA" w:rsidRPr="00A07345">
        <w:t>UK Video Games Industry”</w:t>
      </w:r>
      <w:r w:rsidRPr="00A07345">
        <w:t xml:space="preserve"> </w:t>
      </w:r>
    </w:p>
    <w:p w:rsidR="00ED0E89" w:rsidRPr="00A07345" w:rsidRDefault="00411118" w:rsidP="00AE2DEA">
      <w:pPr>
        <w:pStyle w:val="e1"/>
        <w:ind w:firstLine="0"/>
      </w:pPr>
      <w:hyperlink r:id="rId40" w:history="1">
        <w:r w:rsidR="00ED0E89" w:rsidRPr="00A07345">
          <w:rPr>
            <w:rStyle w:val="Hyperlink"/>
          </w:rPr>
          <w:t>http://www.tiga.org/about-us-and-uk-games/uk-video-games-industry</w:t>
        </w:r>
      </w:hyperlink>
    </w:p>
    <w:p w:rsidR="00ED0E89" w:rsidRPr="00A07345" w:rsidRDefault="00ED0E89" w:rsidP="00763264">
      <w:pPr>
        <w:pStyle w:val="e1"/>
        <w:rPr>
          <w:color w:val="0000FF"/>
          <w:u w:val="single"/>
        </w:rPr>
      </w:pPr>
      <w:r w:rsidRPr="00A07345">
        <w:t>University of Kent Careers and Employability Service (2015) “I Want To Work In … Computer Games</w:t>
      </w:r>
      <w:r w:rsidR="00AE2DEA" w:rsidRPr="00A07345">
        <w:t xml:space="preserve">” </w:t>
      </w:r>
      <w:hyperlink r:id="rId41" w:history="1">
        <w:r w:rsidRPr="00A07345">
          <w:rPr>
            <w:rStyle w:val="Hyperlink"/>
          </w:rPr>
          <w:t>http://www.kent.ac.uk/careers/workin/computergames.htm</w:t>
        </w:r>
      </w:hyperlink>
    </w:p>
    <w:p w:rsidR="008E1A28" w:rsidRPr="00A07345" w:rsidRDefault="008E1A28" w:rsidP="00763264">
      <w:pPr>
        <w:pStyle w:val="e1"/>
      </w:pPr>
      <w:r w:rsidRPr="00A07345">
        <w:t>US Department of Labor. (</w:t>
      </w:r>
      <w:proofErr w:type="spellStart"/>
      <w:r w:rsidRPr="00A07345">
        <w:t>nd</w:t>
      </w:r>
      <w:proofErr w:type="spellEnd"/>
      <w:r w:rsidRPr="00A07345">
        <w:t xml:space="preserve">). Wage and Hour Division. Overtime Pay. </w:t>
      </w:r>
      <w:hyperlink r:id="rId42" w:history="1">
        <w:r w:rsidRPr="00A07345">
          <w:rPr>
            <w:rStyle w:val="Hyperlink"/>
          </w:rPr>
          <w:t>http://www.dol.gov/whd/overtime_pay.htm</w:t>
        </w:r>
      </w:hyperlink>
    </w:p>
    <w:p w:rsidR="00981EC0" w:rsidRPr="00A07345" w:rsidRDefault="00981EC0" w:rsidP="00763264">
      <w:pPr>
        <w:pStyle w:val="e1"/>
      </w:pPr>
      <w:r w:rsidRPr="00A07345">
        <w:t xml:space="preserve">US Department of Labor. (2008). Fact Sheet #17E: Exemption for Employees in Computer-Related Occupations Under the Fair Labor Standards Act (FLSA). U.S. Wage and Hour Division. </w:t>
      </w:r>
      <w:hyperlink r:id="rId43" w:history="1">
        <w:r w:rsidRPr="00A07345">
          <w:rPr>
            <w:rStyle w:val="Hyperlink"/>
          </w:rPr>
          <w:t>http://www.dol.gov/whd/overtime/fs17e_computer.pdf</w:t>
        </w:r>
      </w:hyperlink>
    </w:p>
    <w:p w:rsidR="00ED0E89" w:rsidRPr="00A07345" w:rsidRDefault="00E165E1" w:rsidP="00763264">
      <w:pPr>
        <w:pStyle w:val="e1"/>
      </w:pPr>
      <w:r w:rsidRPr="00A07345">
        <w:t>Virtanen, M</w:t>
      </w:r>
      <w:r w:rsidR="00AE2DEA" w:rsidRPr="00A07345">
        <w:t>arianna</w:t>
      </w:r>
      <w:r w:rsidRPr="00A07345">
        <w:t>,</w:t>
      </w:r>
      <w:r w:rsidR="00ED0E89" w:rsidRPr="00A07345">
        <w:t xml:space="preserve"> </w:t>
      </w:r>
      <w:r w:rsidRPr="00A07345">
        <w:t>J</w:t>
      </w:r>
      <w:r w:rsidR="00AE2DEA" w:rsidRPr="00A07345">
        <w:t xml:space="preserve">ane </w:t>
      </w:r>
      <w:r w:rsidRPr="00A07345">
        <w:t xml:space="preserve">E. </w:t>
      </w:r>
      <w:proofErr w:type="spellStart"/>
      <w:r w:rsidR="00ED0E89" w:rsidRPr="00A07345">
        <w:t>Ferrie</w:t>
      </w:r>
      <w:proofErr w:type="spellEnd"/>
      <w:r w:rsidR="00ED0E89" w:rsidRPr="00A07345">
        <w:t xml:space="preserve">, </w:t>
      </w:r>
      <w:r w:rsidRPr="00A07345">
        <w:t>A</w:t>
      </w:r>
      <w:r w:rsidR="00AE2DEA" w:rsidRPr="00A07345">
        <w:t>rchana</w:t>
      </w:r>
      <w:r w:rsidRPr="00A07345">
        <w:t xml:space="preserve"> </w:t>
      </w:r>
      <w:r w:rsidR="00ED0E89" w:rsidRPr="00A07345">
        <w:t>Singh-</w:t>
      </w:r>
      <w:proofErr w:type="spellStart"/>
      <w:r w:rsidR="00ED0E89" w:rsidRPr="00A07345">
        <w:t>Manoux</w:t>
      </w:r>
      <w:proofErr w:type="spellEnd"/>
      <w:r w:rsidR="00ED0E89" w:rsidRPr="00A07345">
        <w:t xml:space="preserve">, </w:t>
      </w:r>
      <w:r w:rsidRPr="00A07345">
        <w:t>M</w:t>
      </w:r>
      <w:r w:rsidR="00AE2DEA" w:rsidRPr="00A07345">
        <w:t xml:space="preserve">artin </w:t>
      </w:r>
      <w:r w:rsidRPr="00A07345">
        <w:t>J. Shipley, S</w:t>
      </w:r>
      <w:r w:rsidR="00AE2DEA" w:rsidRPr="00A07345">
        <w:t xml:space="preserve">tephen </w:t>
      </w:r>
      <w:r w:rsidRPr="00A07345">
        <w:t xml:space="preserve">A. </w:t>
      </w:r>
      <w:proofErr w:type="spellStart"/>
      <w:r w:rsidR="00ED0E89" w:rsidRPr="00A07345">
        <w:t>Stansfeld</w:t>
      </w:r>
      <w:proofErr w:type="spellEnd"/>
      <w:r w:rsidR="00ED0E89" w:rsidRPr="00A07345">
        <w:t xml:space="preserve">, </w:t>
      </w:r>
      <w:r w:rsidRPr="00A07345">
        <w:t>M</w:t>
      </w:r>
      <w:r w:rsidR="00AE2DEA" w:rsidRPr="00A07345">
        <w:t xml:space="preserve">ichael </w:t>
      </w:r>
      <w:r w:rsidRPr="00A07345">
        <w:t xml:space="preserve">G. </w:t>
      </w:r>
      <w:r w:rsidR="00ED0E89" w:rsidRPr="00A07345">
        <w:t xml:space="preserve">Marmot, </w:t>
      </w:r>
      <w:proofErr w:type="spellStart"/>
      <w:r w:rsidRPr="00A07345">
        <w:t>K</w:t>
      </w:r>
      <w:r w:rsidR="00AE2DEA" w:rsidRPr="00A07345">
        <w:t>irsi</w:t>
      </w:r>
      <w:proofErr w:type="spellEnd"/>
      <w:r w:rsidRPr="00A07345">
        <w:t xml:space="preserve"> </w:t>
      </w:r>
      <w:proofErr w:type="spellStart"/>
      <w:r w:rsidR="00ED0E89" w:rsidRPr="00A07345">
        <w:t>Ahola</w:t>
      </w:r>
      <w:proofErr w:type="spellEnd"/>
      <w:r w:rsidR="00ED0E89" w:rsidRPr="00A07345">
        <w:t xml:space="preserve">, </w:t>
      </w:r>
      <w:proofErr w:type="spellStart"/>
      <w:r w:rsidRPr="00A07345">
        <w:t>J</w:t>
      </w:r>
      <w:r w:rsidR="00AE2DEA" w:rsidRPr="00A07345">
        <w:t>ussi</w:t>
      </w:r>
      <w:proofErr w:type="spellEnd"/>
      <w:r w:rsidRPr="00A07345">
        <w:t xml:space="preserve"> </w:t>
      </w:r>
      <w:proofErr w:type="spellStart"/>
      <w:r w:rsidR="00ED0E89" w:rsidRPr="00A07345">
        <w:t>Vahtera</w:t>
      </w:r>
      <w:proofErr w:type="spellEnd"/>
      <w:r w:rsidR="00ED0E89" w:rsidRPr="00A07345">
        <w:t xml:space="preserve">, </w:t>
      </w:r>
      <w:r w:rsidRPr="00A07345">
        <w:t>M</w:t>
      </w:r>
      <w:r w:rsidR="00AE2DEA" w:rsidRPr="00A07345">
        <w:t>ika</w:t>
      </w:r>
      <w:r w:rsidRPr="00A07345">
        <w:t xml:space="preserve"> </w:t>
      </w:r>
      <w:proofErr w:type="spellStart"/>
      <w:r w:rsidRPr="00A07345">
        <w:t>Kivimaki</w:t>
      </w:r>
      <w:proofErr w:type="spellEnd"/>
      <w:r w:rsidR="00ED0E89" w:rsidRPr="00A07345">
        <w:t xml:space="preserve"> (2011) "Long working hours and symptoms of anxiety and depression: a 5-year follow-up of the Whitehall II study", </w:t>
      </w:r>
      <w:r w:rsidR="00ED0E89" w:rsidRPr="00A07345">
        <w:rPr>
          <w:rStyle w:val="Emphasis"/>
          <w:szCs w:val="12"/>
        </w:rPr>
        <w:t>Psychological Medicine</w:t>
      </w:r>
      <w:r w:rsidR="00ED0E89" w:rsidRPr="00A07345">
        <w:t>, 41(12): 2485 – 2494</w:t>
      </w:r>
    </w:p>
    <w:p w:rsidR="00ED0E89" w:rsidRPr="00A07345" w:rsidRDefault="00E165E1" w:rsidP="00763264">
      <w:pPr>
        <w:pStyle w:val="e1"/>
      </w:pPr>
      <w:r w:rsidRPr="00A07345">
        <w:t xml:space="preserve">Virtanen, Marianna, </w:t>
      </w:r>
      <w:proofErr w:type="spellStart"/>
      <w:r w:rsidRPr="00A07345">
        <w:t>Katriina</w:t>
      </w:r>
      <w:proofErr w:type="spellEnd"/>
      <w:r w:rsidR="00ED0E89" w:rsidRPr="00A07345">
        <w:t xml:space="preserve"> </w:t>
      </w:r>
      <w:proofErr w:type="spellStart"/>
      <w:r w:rsidR="00ED0E89" w:rsidRPr="00A07345">
        <w:t>Heikkilä</w:t>
      </w:r>
      <w:proofErr w:type="spellEnd"/>
      <w:r w:rsidR="00ED0E89" w:rsidRPr="00A07345">
        <w:t xml:space="preserve">, </w:t>
      </w:r>
      <w:r w:rsidRPr="00A07345">
        <w:t xml:space="preserve">Markus </w:t>
      </w:r>
      <w:proofErr w:type="spellStart"/>
      <w:r w:rsidR="00ED0E89" w:rsidRPr="00A07345">
        <w:t>Jokela</w:t>
      </w:r>
      <w:proofErr w:type="spellEnd"/>
      <w:r w:rsidR="00ED0E89" w:rsidRPr="00A07345">
        <w:t xml:space="preserve">, </w:t>
      </w:r>
      <w:r w:rsidRPr="00A07345">
        <w:t xml:space="preserve">Jane E. </w:t>
      </w:r>
      <w:proofErr w:type="spellStart"/>
      <w:r w:rsidR="00ED0E89" w:rsidRPr="00A07345">
        <w:t>Ferrie</w:t>
      </w:r>
      <w:proofErr w:type="spellEnd"/>
      <w:r w:rsidR="00ED0E89" w:rsidRPr="00A07345">
        <w:t xml:space="preserve">, </w:t>
      </w:r>
      <w:r w:rsidRPr="00A07345">
        <w:t>G. David Batty,</w:t>
      </w:r>
      <w:r w:rsidR="00ED0E89" w:rsidRPr="00A07345">
        <w:t xml:space="preserve"> </w:t>
      </w:r>
      <w:proofErr w:type="spellStart"/>
      <w:r w:rsidRPr="00A07345">
        <w:t>Jussi</w:t>
      </w:r>
      <w:proofErr w:type="spellEnd"/>
      <w:r w:rsidRPr="00A07345">
        <w:t xml:space="preserve"> </w:t>
      </w:r>
      <w:proofErr w:type="spellStart"/>
      <w:r w:rsidRPr="00A07345">
        <w:t>Vahtera</w:t>
      </w:r>
      <w:proofErr w:type="spellEnd"/>
      <w:r w:rsidRPr="00A07345">
        <w:t xml:space="preserve"> &amp;</w:t>
      </w:r>
      <w:r w:rsidR="00ED0E89" w:rsidRPr="00A07345">
        <w:t xml:space="preserve"> </w:t>
      </w:r>
      <w:r w:rsidRPr="00A07345">
        <w:t xml:space="preserve">Mika </w:t>
      </w:r>
      <w:proofErr w:type="spellStart"/>
      <w:r w:rsidRPr="00A07345">
        <w:t>Kivimäki</w:t>
      </w:r>
      <w:proofErr w:type="spellEnd"/>
      <w:r w:rsidR="00ED0E89" w:rsidRPr="00A07345">
        <w:t xml:space="preserve"> (2012) "Long Working Hours and Coronary Heart Disease: A Systematic Review and Meta-Analysis", </w:t>
      </w:r>
      <w:r w:rsidR="00ED0E89" w:rsidRPr="00A07345">
        <w:rPr>
          <w:rStyle w:val="Emphasis"/>
          <w:szCs w:val="12"/>
        </w:rPr>
        <w:t>American Journal of Epidemiology</w:t>
      </w:r>
      <w:r w:rsidR="00ED0E89" w:rsidRPr="00A07345">
        <w:t>, 176(7): 586-596</w:t>
      </w:r>
    </w:p>
    <w:p w:rsidR="00ED0E89" w:rsidRPr="00A07345" w:rsidRDefault="007F0730" w:rsidP="00763264">
      <w:pPr>
        <w:pStyle w:val="e1"/>
      </w:pPr>
      <w:proofErr w:type="spellStart"/>
      <w:r w:rsidRPr="00A07345">
        <w:t>Weststar</w:t>
      </w:r>
      <w:proofErr w:type="spellEnd"/>
      <w:r w:rsidRPr="00A07345">
        <w:t>, J</w:t>
      </w:r>
      <w:r w:rsidR="00AE2DEA" w:rsidRPr="00A07345">
        <w:t>ohanna</w:t>
      </w:r>
      <w:r w:rsidRPr="00A07345">
        <w:t xml:space="preserve"> &amp; Andrei-</w:t>
      </w:r>
      <w:proofErr w:type="spellStart"/>
      <w:r w:rsidRPr="00A07345">
        <w:t>Gedja</w:t>
      </w:r>
      <w:proofErr w:type="spellEnd"/>
      <w:r w:rsidR="00C10941" w:rsidRPr="00A07345">
        <w:t>, M</w:t>
      </w:r>
      <w:r w:rsidR="00AE2DEA" w:rsidRPr="00A07345">
        <w:t>aria</w:t>
      </w:r>
      <w:r w:rsidR="00C10941" w:rsidRPr="00A07345">
        <w:t xml:space="preserve"> (</w:t>
      </w:r>
      <w:r w:rsidRPr="00A07345">
        <w:t>2015) 2014 IGDA DSS Report: Future Outlook and Industry Trends</w:t>
      </w:r>
      <w:r w:rsidR="00156D31" w:rsidRPr="00A07345">
        <w:t>.</w:t>
      </w:r>
      <w:r w:rsidR="00AE2DEA" w:rsidRPr="00A07345">
        <w:t xml:space="preserve"> </w:t>
      </w:r>
      <w:hyperlink r:id="rId44" w:history="1">
        <w:r w:rsidR="00AE2DEA" w:rsidRPr="00A07345">
          <w:rPr>
            <w:rStyle w:val="Hyperlink"/>
          </w:rPr>
          <w:t>http://gameqol.org/igda-qol-survey/</w:t>
        </w:r>
      </w:hyperlink>
    </w:p>
    <w:p w:rsidR="00AE2DEA" w:rsidRPr="00A07345" w:rsidRDefault="00AE2DEA" w:rsidP="00763264">
      <w:pPr>
        <w:pStyle w:val="e1"/>
      </w:pPr>
      <w:r w:rsidRPr="00A07345">
        <w:t xml:space="preserve">Weststar, Johanna &amp; Marie-Josée Legault (2012) Facts and discussion about hours of work in the video game industry. In A. Bracken &amp; N. </w:t>
      </w:r>
      <w:proofErr w:type="spellStart"/>
      <w:r w:rsidRPr="00A07345">
        <w:t>Guyot</w:t>
      </w:r>
      <w:proofErr w:type="spellEnd"/>
      <w:r w:rsidRPr="00A07345">
        <w:t xml:space="preserve">, (eds.) </w:t>
      </w:r>
      <w:r w:rsidRPr="00A07345">
        <w:rPr>
          <w:i/>
        </w:rPr>
        <w:t>Cultural perspectives of video games: From designer to player</w:t>
      </w:r>
      <w:r w:rsidRPr="00A07345">
        <w:t>. Oxford, UK: Interdisciplinary Press.</w:t>
      </w:r>
    </w:p>
    <w:p w:rsidR="004433BD" w:rsidRPr="00A07345" w:rsidRDefault="004433BD" w:rsidP="004433BD">
      <w:pPr>
        <w:pStyle w:val="e1"/>
      </w:pPr>
      <w:proofErr w:type="gramStart"/>
      <w:r w:rsidRPr="00A07345">
        <w:t xml:space="preserve">Weststar, Johanna &amp; Marie-Josée Legault (2014) </w:t>
      </w:r>
      <w:r w:rsidRPr="00A07345">
        <w:rPr>
          <w:i/>
        </w:rPr>
        <w:t>Developer Satisfaction Survey 2014.</w:t>
      </w:r>
      <w:proofErr w:type="gramEnd"/>
      <w:r w:rsidRPr="00A07345">
        <w:rPr>
          <w:i/>
        </w:rPr>
        <w:t xml:space="preserve"> Employment Report</w:t>
      </w:r>
      <w:r w:rsidRPr="00A07345">
        <w:t>, commissioned by the International game developers’ association (IGDA)</w:t>
      </w:r>
    </w:p>
    <w:p w:rsidR="00AE2DEA" w:rsidRPr="00A07345" w:rsidRDefault="00411118" w:rsidP="0069329E">
      <w:pPr>
        <w:pStyle w:val="e1"/>
      </w:pPr>
      <w:hyperlink r:id="rId45" w:history="1">
        <w:r w:rsidR="004433BD" w:rsidRPr="00A07345">
          <w:rPr>
            <w:rStyle w:val="Hyperlink"/>
          </w:rPr>
          <w:t>https://www.igda.org/?page=dss2014</w:t>
        </w:r>
      </w:hyperlink>
      <w:r w:rsidR="0069329E" w:rsidRPr="00A07345">
        <w:t>;</w:t>
      </w:r>
      <w:r w:rsidR="00AE2DEA" w:rsidRPr="00A07345">
        <w:t xml:space="preserve"> </w:t>
      </w:r>
      <w:hyperlink r:id="rId46" w:history="1">
        <w:r w:rsidR="00AE2DEA" w:rsidRPr="00A07345">
          <w:rPr>
            <w:rStyle w:val="Hyperlink"/>
          </w:rPr>
          <w:t>http://gameqol.org/igda-qol-survey/</w:t>
        </w:r>
      </w:hyperlink>
    </w:p>
    <w:p w:rsidR="002B37D8" w:rsidRPr="00ED0E89" w:rsidRDefault="00ED0E89" w:rsidP="00763264">
      <w:pPr>
        <w:pStyle w:val="e1"/>
      </w:pPr>
      <w:r w:rsidRPr="00A07345">
        <w:rPr>
          <w:lang w:eastAsia="fr-FR"/>
        </w:rPr>
        <w:t xml:space="preserve">Wooden, Mark </w:t>
      </w:r>
      <w:r w:rsidR="00E165E1" w:rsidRPr="00A07345">
        <w:rPr>
          <w:lang w:eastAsia="fr-FR"/>
        </w:rPr>
        <w:t>&amp;</w:t>
      </w:r>
      <w:r w:rsidRPr="00A07345">
        <w:rPr>
          <w:lang w:eastAsia="fr-FR"/>
        </w:rPr>
        <w:t xml:space="preserve"> Joanne </w:t>
      </w:r>
      <w:proofErr w:type="spellStart"/>
      <w:r w:rsidRPr="00A07345">
        <w:rPr>
          <w:lang w:eastAsia="fr-FR"/>
        </w:rPr>
        <w:t>Loundes</w:t>
      </w:r>
      <w:proofErr w:type="spellEnd"/>
      <w:r w:rsidRPr="00A07345">
        <w:rPr>
          <w:lang w:eastAsia="fr-FR"/>
        </w:rPr>
        <w:t xml:space="preserve"> (2001) “How Unreasonable Are Long Workings Hours?”, </w:t>
      </w:r>
      <w:r w:rsidRPr="00A07345">
        <w:rPr>
          <w:i/>
          <w:lang w:eastAsia="fr-FR"/>
        </w:rPr>
        <w:t>Melbourne Institute Working Paper</w:t>
      </w:r>
      <w:r w:rsidRPr="00A07345">
        <w:rPr>
          <w:lang w:eastAsia="fr-FR"/>
        </w:rPr>
        <w:t>, no. 1/02, 28 p.</w:t>
      </w:r>
    </w:p>
    <w:sectPr w:rsidR="002B37D8" w:rsidRPr="00ED0E89" w:rsidSect="003F6C69">
      <w:headerReference w:type="default" r:id="rId47"/>
      <w:pgSz w:w="12240" w:h="15840"/>
      <w:pgMar w:top="1678" w:right="1678" w:bottom="1678" w:left="2160" w:header="1077" w:footer="107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118" w:rsidRDefault="00411118" w:rsidP="00ED0E89">
      <w:r>
        <w:separator/>
      </w:r>
    </w:p>
  </w:endnote>
  <w:endnote w:type="continuationSeparator" w:id="0">
    <w:p w:rsidR="00411118" w:rsidRDefault="00411118" w:rsidP="00ED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W1)">
    <w:altName w:val="Times New Roman"/>
    <w:charset w:val="00"/>
    <w:family w:val="roman"/>
    <w:pitch w:val="variable"/>
    <w:sig w:usb0="20002A87" w:usb1="C0007841" w:usb2="00000009" w:usb3="00000000" w:csb0="000001FF" w:csb1="00000000"/>
  </w:font>
  <w:font w:name="PalatinoLinotype,Bold">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118" w:rsidRDefault="00411118" w:rsidP="00ED0E89">
      <w:r>
        <w:separator/>
      </w:r>
    </w:p>
  </w:footnote>
  <w:footnote w:type="continuationSeparator" w:id="0">
    <w:p w:rsidR="00411118" w:rsidRDefault="00411118" w:rsidP="00ED0E89">
      <w:r>
        <w:continuationSeparator/>
      </w:r>
    </w:p>
  </w:footnote>
  <w:footnote w:id="1">
    <w:p w:rsidR="00C44C18" w:rsidRDefault="00C44C18" w:rsidP="00ED0E89">
      <w:pPr>
        <w:pStyle w:val="FootnoteText"/>
      </w:pPr>
      <w:r>
        <w:rPr>
          <w:rStyle w:val="FootnoteReference"/>
        </w:rPr>
        <w:footnoteRef/>
      </w:r>
      <w:r>
        <w:t xml:space="preserve"> </w:t>
      </w:r>
      <w:r>
        <w:tab/>
      </w:r>
      <w:r w:rsidRPr="003C06CC">
        <w:t>Québec (gouvernement du) (Service aérien gouvernemental) et Syndicat de la fonction publique et parapublique du Québec, 2014 QCCTA 241.</w:t>
      </w:r>
      <w:r>
        <w:t xml:space="preserve"> </w:t>
      </w:r>
    </w:p>
  </w:footnote>
  <w:footnote w:id="2">
    <w:p w:rsidR="00C44C18" w:rsidRPr="00762C28" w:rsidRDefault="00C44C18" w:rsidP="00ED0E89">
      <w:pPr>
        <w:pStyle w:val="FootnoteText"/>
      </w:pPr>
      <w:r>
        <w:rPr>
          <w:rStyle w:val="FootnoteReference"/>
        </w:rPr>
        <w:footnoteRef/>
      </w:r>
      <w:r>
        <w:t xml:space="preserve"> </w:t>
      </w:r>
      <w:r>
        <w:tab/>
      </w:r>
      <w:r w:rsidRPr="00762C28">
        <w:t xml:space="preserve">Commission des normes du travail c. Solutions </w:t>
      </w:r>
      <w:proofErr w:type="spellStart"/>
      <w:r w:rsidRPr="00762C28">
        <w:t>Mindready</w:t>
      </w:r>
      <w:proofErr w:type="spellEnd"/>
      <w:r w:rsidRPr="00762C28">
        <w:t xml:space="preserve"> </w:t>
      </w:r>
      <w:proofErr w:type="spellStart"/>
      <w:r w:rsidRPr="00762C28">
        <w:t>inc.</w:t>
      </w:r>
      <w:proofErr w:type="spellEnd"/>
      <w:r>
        <w:t>,</w:t>
      </w:r>
      <w:r w:rsidRPr="00762C28">
        <w:t xml:space="preserve"> 2006 QCCQ 11439</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C18" w:rsidRDefault="00C44C18">
    <w:pPr>
      <w:pStyle w:val="Header"/>
    </w:pPr>
    <w:r>
      <w:t>Working time among VGDs 2004-14</w:t>
    </w:r>
    <w:r>
      <w:tab/>
    </w:r>
    <w:r>
      <w:fldChar w:fldCharType="begin"/>
    </w:r>
    <w:r>
      <w:instrText xml:space="preserve"> PAGE   \* MERGEFORMAT </w:instrText>
    </w:r>
    <w:r>
      <w:fldChar w:fldCharType="separate"/>
    </w:r>
    <w:r w:rsidR="00E95D4F">
      <w:rPr>
        <w:noProof/>
      </w:rPr>
      <w:t>37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57EBE"/>
    <w:multiLevelType w:val="hybridMultilevel"/>
    <w:tmpl w:val="714E33CC"/>
    <w:lvl w:ilvl="0" w:tplc="DF4AAF8E">
      <w:numFmt w:val="bullet"/>
      <w:lvlText w:val="-"/>
      <w:lvlJc w:val="left"/>
      <w:pPr>
        <w:ind w:left="720" w:hanging="360"/>
      </w:pPr>
      <w:rPr>
        <w:rFonts w:ascii="Times New Roman" w:eastAsiaTheme="minorHAns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nsid w:val="341B38FA"/>
    <w:multiLevelType w:val="hybridMultilevel"/>
    <w:tmpl w:val="67D82858"/>
    <w:lvl w:ilvl="0" w:tplc="D4BCBF82">
      <w:start w:val="60"/>
      <w:numFmt w:val="bullet"/>
      <w:lvlText w:val="-"/>
      <w:lvlJc w:val="left"/>
      <w:pPr>
        <w:ind w:left="1713" w:hanging="360"/>
      </w:pPr>
      <w:rPr>
        <w:rFonts w:ascii="Arial Narrow" w:eastAsia="Times New Roman" w:hAnsi="Arial Narrow"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nsid w:val="380F47DD"/>
    <w:multiLevelType w:val="hybridMultilevel"/>
    <w:tmpl w:val="4CA856B0"/>
    <w:lvl w:ilvl="0" w:tplc="51F0DE9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89"/>
    <w:rsid w:val="00006011"/>
    <w:rsid w:val="00010207"/>
    <w:rsid w:val="0001337E"/>
    <w:rsid w:val="000134FF"/>
    <w:rsid w:val="00017862"/>
    <w:rsid w:val="00020CC2"/>
    <w:rsid w:val="00032198"/>
    <w:rsid w:val="000343A4"/>
    <w:rsid w:val="00046B9F"/>
    <w:rsid w:val="00053691"/>
    <w:rsid w:val="000749B2"/>
    <w:rsid w:val="00087ACB"/>
    <w:rsid w:val="000A40B0"/>
    <w:rsid w:val="000B1C6A"/>
    <w:rsid w:val="000B559F"/>
    <w:rsid w:val="000C3889"/>
    <w:rsid w:val="000C7CFE"/>
    <w:rsid w:val="000F2669"/>
    <w:rsid w:val="00135D8A"/>
    <w:rsid w:val="00140A40"/>
    <w:rsid w:val="00150DA0"/>
    <w:rsid w:val="00152305"/>
    <w:rsid w:val="00156D31"/>
    <w:rsid w:val="00166158"/>
    <w:rsid w:val="00170CCB"/>
    <w:rsid w:val="00175218"/>
    <w:rsid w:val="001775A7"/>
    <w:rsid w:val="001939AF"/>
    <w:rsid w:val="001B33C8"/>
    <w:rsid w:val="001C5C59"/>
    <w:rsid w:val="001D32C4"/>
    <w:rsid w:val="001E0583"/>
    <w:rsid w:val="001E2648"/>
    <w:rsid w:val="001F2B83"/>
    <w:rsid w:val="001F6E0B"/>
    <w:rsid w:val="001F7D37"/>
    <w:rsid w:val="00213B42"/>
    <w:rsid w:val="00224068"/>
    <w:rsid w:val="0022497E"/>
    <w:rsid w:val="002403EF"/>
    <w:rsid w:val="00241008"/>
    <w:rsid w:val="00246D93"/>
    <w:rsid w:val="00250D4A"/>
    <w:rsid w:val="0025113A"/>
    <w:rsid w:val="00264A8E"/>
    <w:rsid w:val="00266B8B"/>
    <w:rsid w:val="002755EC"/>
    <w:rsid w:val="00275923"/>
    <w:rsid w:val="00281B1C"/>
    <w:rsid w:val="00295A46"/>
    <w:rsid w:val="002A73F5"/>
    <w:rsid w:val="002B37D8"/>
    <w:rsid w:val="002C369E"/>
    <w:rsid w:val="002E4E5D"/>
    <w:rsid w:val="00300990"/>
    <w:rsid w:val="003110C6"/>
    <w:rsid w:val="003257F5"/>
    <w:rsid w:val="0033356E"/>
    <w:rsid w:val="00335BFF"/>
    <w:rsid w:val="003440F1"/>
    <w:rsid w:val="003952F1"/>
    <w:rsid w:val="003A68AA"/>
    <w:rsid w:val="003B4055"/>
    <w:rsid w:val="003B46B1"/>
    <w:rsid w:val="003D41BB"/>
    <w:rsid w:val="003E0A33"/>
    <w:rsid w:val="003E0CD2"/>
    <w:rsid w:val="003F6C69"/>
    <w:rsid w:val="00405244"/>
    <w:rsid w:val="00411118"/>
    <w:rsid w:val="0042565C"/>
    <w:rsid w:val="00426FB0"/>
    <w:rsid w:val="004317D7"/>
    <w:rsid w:val="004433BD"/>
    <w:rsid w:val="0046102F"/>
    <w:rsid w:val="00487AD2"/>
    <w:rsid w:val="0049791A"/>
    <w:rsid w:val="004A6849"/>
    <w:rsid w:val="004B7AB2"/>
    <w:rsid w:val="004C4283"/>
    <w:rsid w:val="004C702E"/>
    <w:rsid w:val="004D1660"/>
    <w:rsid w:val="0051296C"/>
    <w:rsid w:val="005143F7"/>
    <w:rsid w:val="00527F5A"/>
    <w:rsid w:val="005321B0"/>
    <w:rsid w:val="005325B7"/>
    <w:rsid w:val="00557A31"/>
    <w:rsid w:val="00586B88"/>
    <w:rsid w:val="0059001F"/>
    <w:rsid w:val="00590D57"/>
    <w:rsid w:val="005A5595"/>
    <w:rsid w:val="005C2482"/>
    <w:rsid w:val="005D297D"/>
    <w:rsid w:val="005D5FB5"/>
    <w:rsid w:val="005D6F38"/>
    <w:rsid w:val="005E39C3"/>
    <w:rsid w:val="00604A24"/>
    <w:rsid w:val="00645509"/>
    <w:rsid w:val="00664E02"/>
    <w:rsid w:val="006703FD"/>
    <w:rsid w:val="006748FA"/>
    <w:rsid w:val="00676052"/>
    <w:rsid w:val="00682FE8"/>
    <w:rsid w:val="00687689"/>
    <w:rsid w:val="0069329E"/>
    <w:rsid w:val="00693D05"/>
    <w:rsid w:val="00695D01"/>
    <w:rsid w:val="006A3E89"/>
    <w:rsid w:val="006E1C92"/>
    <w:rsid w:val="006F6201"/>
    <w:rsid w:val="00704BCE"/>
    <w:rsid w:val="0072726B"/>
    <w:rsid w:val="007328D5"/>
    <w:rsid w:val="007376F7"/>
    <w:rsid w:val="00737E3A"/>
    <w:rsid w:val="00740B63"/>
    <w:rsid w:val="00741945"/>
    <w:rsid w:val="00747488"/>
    <w:rsid w:val="00763264"/>
    <w:rsid w:val="00783097"/>
    <w:rsid w:val="00784243"/>
    <w:rsid w:val="00784A95"/>
    <w:rsid w:val="00785BEC"/>
    <w:rsid w:val="007873DD"/>
    <w:rsid w:val="007A32CE"/>
    <w:rsid w:val="007C0AA4"/>
    <w:rsid w:val="007C4DAA"/>
    <w:rsid w:val="007C71D2"/>
    <w:rsid w:val="007E4FE1"/>
    <w:rsid w:val="007E5656"/>
    <w:rsid w:val="007F0730"/>
    <w:rsid w:val="00843570"/>
    <w:rsid w:val="008466AF"/>
    <w:rsid w:val="00847001"/>
    <w:rsid w:val="00851CB3"/>
    <w:rsid w:val="0085346C"/>
    <w:rsid w:val="0086169B"/>
    <w:rsid w:val="008A294B"/>
    <w:rsid w:val="008A3220"/>
    <w:rsid w:val="008B5544"/>
    <w:rsid w:val="008C51DB"/>
    <w:rsid w:val="008D50DF"/>
    <w:rsid w:val="008E1A28"/>
    <w:rsid w:val="008F19B5"/>
    <w:rsid w:val="008F3D28"/>
    <w:rsid w:val="0090495D"/>
    <w:rsid w:val="00920CBF"/>
    <w:rsid w:val="009217A8"/>
    <w:rsid w:val="00927BAB"/>
    <w:rsid w:val="00927C10"/>
    <w:rsid w:val="0093321E"/>
    <w:rsid w:val="009361D5"/>
    <w:rsid w:val="00950ED0"/>
    <w:rsid w:val="0097115F"/>
    <w:rsid w:val="00980068"/>
    <w:rsid w:val="00981EC0"/>
    <w:rsid w:val="009A50FD"/>
    <w:rsid w:val="009A63BA"/>
    <w:rsid w:val="009B26DD"/>
    <w:rsid w:val="009D4E4C"/>
    <w:rsid w:val="009E436D"/>
    <w:rsid w:val="009E5EC4"/>
    <w:rsid w:val="009E620C"/>
    <w:rsid w:val="009F101D"/>
    <w:rsid w:val="009F1A12"/>
    <w:rsid w:val="009F434D"/>
    <w:rsid w:val="00A00219"/>
    <w:rsid w:val="00A016AC"/>
    <w:rsid w:val="00A04FCB"/>
    <w:rsid w:val="00A05622"/>
    <w:rsid w:val="00A07345"/>
    <w:rsid w:val="00A14196"/>
    <w:rsid w:val="00A278E7"/>
    <w:rsid w:val="00A41CFC"/>
    <w:rsid w:val="00A51B86"/>
    <w:rsid w:val="00A91ED1"/>
    <w:rsid w:val="00AA673D"/>
    <w:rsid w:val="00AB5276"/>
    <w:rsid w:val="00AC08A7"/>
    <w:rsid w:val="00AC1897"/>
    <w:rsid w:val="00AC3DF5"/>
    <w:rsid w:val="00AC725F"/>
    <w:rsid w:val="00AD0154"/>
    <w:rsid w:val="00AD74BB"/>
    <w:rsid w:val="00AE2DEA"/>
    <w:rsid w:val="00B0521C"/>
    <w:rsid w:val="00B071E0"/>
    <w:rsid w:val="00B10665"/>
    <w:rsid w:val="00B117A4"/>
    <w:rsid w:val="00B20514"/>
    <w:rsid w:val="00B20B11"/>
    <w:rsid w:val="00B2236B"/>
    <w:rsid w:val="00B263BE"/>
    <w:rsid w:val="00B35149"/>
    <w:rsid w:val="00B42313"/>
    <w:rsid w:val="00B44382"/>
    <w:rsid w:val="00B51146"/>
    <w:rsid w:val="00B51DE0"/>
    <w:rsid w:val="00B57118"/>
    <w:rsid w:val="00B73A46"/>
    <w:rsid w:val="00B745BB"/>
    <w:rsid w:val="00B75E3D"/>
    <w:rsid w:val="00B76027"/>
    <w:rsid w:val="00B84B04"/>
    <w:rsid w:val="00BA4B0C"/>
    <w:rsid w:val="00BA4FD6"/>
    <w:rsid w:val="00BA70E3"/>
    <w:rsid w:val="00BA7274"/>
    <w:rsid w:val="00BB47B4"/>
    <w:rsid w:val="00BB6E7B"/>
    <w:rsid w:val="00BB7E09"/>
    <w:rsid w:val="00BC555E"/>
    <w:rsid w:val="00BC7B2A"/>
    <w:rsid w:val="00BF0760"/>
    <w:rsid w:val="00BF1B34"/>
    <w:rsid w:val="00BF4E62"/>
    <w:rsid w:val="00BF4F56"/>
    <w:rsid w:val="00BF7B04"/>
    <w:rsid w:val="00C03AFC"/>
    <w:rsid w:val="00C06888"/>
    <w:rsid w:val="00C07B00"/>
    <w:rsid w:val="00C10941"/>
    <w:rsid w:val="00C11284"/>
    <w:rsid w:val="00C16E5B"/>
    <w:rsid w:val="00C2621B"/>
    <w:rsid w:val="00C3038F"/>
    <w:rsid w:val="00C34994"/>
    <w:rsid w:val="00C42146"/>
    <w:rsid w:val="00C44C18"/>
    <w:rsid w:val="00C56B2B"/>
    <w:rsid w:val="00C575D9"/>
    <w:rsid w:val="00C57A85"/>
    <w:rsid w:val="00C6099E"/>
    <w:rsid w:val="00C63354"/>
    <w:rsid w:val="00C67C63"/>
    <w:rsid w:val="00C90C54"/>
    <w:rsid w:val="00C97251"/>
    <w:rsid w:val="00D06303"/>
    <w:rsid w:val="00D21F0C"/>
    <w:rsid w:val="00D31FC9"/>
    <w:rsid w:val="00D40490"/>
    <w:rsid w:val="00D44312"/>
    <w:rsid w:val="00D50546"/>
    <w:rsid w:val="00D6349C"/>
    <w:rsid w:val="00D72F02"/>
    <w:rsid w:val="00D73887"/>
    <w:rsid w:val="00D86206"/>
    <w:rsid w:val="00D93B94"/>
    <w:rsid w:val="00D97B1A"/>
    <w:rsid w:val="00DA5796"/>
    <w:rsid w:val="00DD1C1D"/>
    <w:rsid w:val="00DE1ADC"/>
    <w:rsid w:val="00DE6214"/>
    <w:rsid w:val="00E03A29"/>
    <w:rsid w:val="00E06127"/>
    <w:rsid w:val="00E0702B"/>
    <w:rsid w:val="00E1061C"/>
    <w:rsid w:val="00E165E1"/>
    <w:rsid w:val="00E17D21"/>
    <w:rsid w:val="00E227E4"/>
    <w:rsid w:val="00E23F83"/>
    <w:rsid w:val="00E34BE6"/>
    <w:rsid w:val="00E51343"/>
    <w:rsid w:val="00E5272A"/>
    <w:rsid w:val="00E85018"/>
    <w:rsid w:val="00E95D4F"/>
    <w:rsid w:val="00E95D56"/>
    <w:rsid w:val="00EA13AA"/>
    <w:rsid w:val="00EB674C"/>
    <w:rsid w:val="00EC3A7E"/>
    <w:rsid w:val="00EC3B9E"/>
    <w:rsid w:val="00ED0E89"/>
    <w:rsid w:val="00ED4EE6"/>
    <w:rsid w:val="00EE3B2D"/>
    <w:rsid w:val="00EE7B9B"/>
    <w:rsid w:val="00EF3E5A"/>
    <w:rsid w:val="00EF6114"/>
    <w:rsid w:val="00EF6BC1"/>
    <w:rsid w:val="00F14451"/>
    <w:rsid w:val="00F25164"/>
    <w:rsid w:val="00F256FF"/>
    <w:rsid w:val="00F35D45"/>
    <w:rsid w:val="00F46F78"/>
    <w:rsid w:val="00F6050C"/>
    <w:rsid w:val="00F7246B"/>
    <w:rsid w:val="00F92F82"/>
    <w:rsid w:val="00F9620E"/>
    <w:rsid w:val="00FA162D"/>
    <w:rsid w:val="00FE5823"/>
    <w:rsid w:val="00FE66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E89"/>
    <w:pPr>
      <w:jc w:val="both"/>
    </w:pPr>
    <w:rPr>
      <w:rFonts w:ascii="Arial" w:hAnsi="Arial"/>
      <w:sz w:val="24"/>
    </w:rPr>
  </w:style>
  <w:style w:type="paragraph" w:styleId="Heading1">
    <w:name w:val="heading 1"/>
    <w:basedOn w:val="Normal"/>
    <w:next w:val="p"/>
    <w:link w:val="Heading1Char"/>
    <w:qFormat/>
    <w:rsid w:val="00F25164"/>
    <w:pPr>
      <w:keepNext/>
      <w:keepLines/>
      <w:spacing w:before="600" w:after="80" w:line="320" w:lineRule="atLeast"/>
      <w:outlineLvl w:val="0"/>
    </w:pPr>
    <w:rPr>
      <w:caps/>
      <w:spacing w:val="-4"/>
      <w:kern w:val="28"/>
      <w:sz w:val="28"/>
      <w:lang w:val="x-none"/>
    </w:rPr>
  </w:style>
  <w:style w:type="paragraph" w:styleId="Heading2">
    <w:name w:val="heading 2"/>
    <w:basedOn w:val="Normal"/>
    <w:next w:val="p"/>
    <w:link w:val="Heading2Char"/>
    <w:qFormat/>
    <w:rsid w:val="00F25164"/>
    <w:pPr>
      <w:keepNext/>
      <w:keepLines/>
      <w:spacing w:before="240" w:after="80" w:line="280" w:lineRule="atLeast"/>
      <w:ind w:left="851"/>
      <w:jc w:val="left"/>
      <w:outlineLvl w:val="1"/>
    </w:pPr>
    <w:rPr>
      <w:b/>
      <w:spacing w:val="-4"/>
      <w:lang w:val="x-none"/>
    </w:rPr>
  </w:style>
  <w:style w:type="paragraph" w:styleId="Heading3">
    <w:name w:val="heading 3"/>
    <w:basedOn w:val="Normal"/>
    <w:next w:val="p"/>
    <w:link w:val="Heading3Char"/>
    <w:qFormat/>
    <w:rsid w:val="00747488"/>
    <w:pPr>
      <w:keepNext/>
      <w:keepLines/>
      <w:spacing w:before="120" w:after="80" w:line="280" w:lineRule="atLeast"/>
      <w:ind w:left="992"/>
      <w:jc w:val="left"/>
      <w:outlineLvl w:val="2"/>
    </w:pPr>
    <w:rPr>
      <w:rFonts w:ascii="Arial Narrow" w:hAnsi="Arial Narrow"/>
      <w:i/>
      <w:spacing w:val="-2"/>
      <w:szCs w:val="24"/>
      <w:lang w:val="x-none" w:eastAsia="fr-FR"/>
    </w:rPr>
  </w:style>
  <w:style w:type="paragraph" w:styleId="Heading4">
    <w:name w:val="heading 4"/>
    <w:basedOn w:val="Normal"/>
    <w:next w:val="Normal"/>
    <w:link w:val="Heading4Char"/>
    <w:qFormat/>
    <w:rsid w:val="00F25164"/>
    <w:pPr>
      <w:keepNext/>
      <w:keepLines/>
      <w:spacing w:line="220" w:lineRule="atLeast"/>
      <w:ind w:left="993"/>
      <w:jc w:val="left"/>
      <w:outlineLvl w:val="3"/>
    </w:pPr>
    <w:rPr>
      <w:rFonts w:ascii="Arial Black" w:hAnsi="Arial Black"/>
      <w:spacing w:val="-4"/>
      <w:sz w:val="20"/>
      <w:lang w:val="x-none"/>
    </w:rPr>
  </w:style>
  <w:style w:type="paragraph" w:styleId="Heading5">
    <w:name w:val="heading 5"/>
    <w:basedOn w:val="Normal"/>
    <w:next w:val="Normal"/>
    <w:link w:val="Heading5Char"/>
    <w:qFormat/>
    <w:rsid w:val="00F25164"/>
    <w:pPr>
      <w:spacing w:after="80"/>
      <w:jc w:val="center"/>
      <w:outlineLvl w:val="4"/>
    </w:pPr>
    <w:rPr>
      <w:rFonts w:ascii="Calibri" w:hAnsi="Calibri"/>
      <w:b/>
      <w:sz w:val="20"/>
      <w:lang w:val="x-none"/>
    </w:rPr>
  </w:style>
  <w:style w:type="paragraph" w:styleId="Heading6">
    <w:name w:val="heading 6"/>
    <w:basedOn w:val="Normal"/>
    <w:next w:val="Normal"/>
    <w:link w:val="Heading6Char"/>
    <w:qFormat/>
    <w:rsid w:val="00F25164"/>
    <w:pPr>
      <w:spacing w:before="240" w:after="60"/>
      <w:outlineLvl w:val="5"/>
    </w:pPr>
    <w:rPr>
      <w:i/>
      <w:sz w:val="20"/>
      <w:lang w:val="x-none"/>
    </w:rPr>
  </w:style>
  <w:style w:type="paragraph" w:styleId="Heading7">
    <w:name w:val="heading 7"/>
    <w:basedOn w:val="Normal"/>
    <w:next w:val="Normal"/>
    <w:link w:val="Heading7Char"/>
    <w:qFormat/>
    <w:rsid w:val="00F25164"/>
    <w:pPr>
      <w:spacing w:before="240" w:after="60"/>
      <w:outlineLvl w:val="6"/>
    </w:pPr>
    <w:rPr>
      <w:lang w:val="x-none"/>
    </w:rPr>
  </w:style>
  <w:style w:type="paragraph" w:styleId="Heading8">
    <w:name w:val="heading 8"/>
    <w:basedOn w:val="Normal"/>
    <w:next w:val="Normal"/>
    <w:link w:val="Heading8Char"/>
    <w:qFormat/>
    <w:rsid w:val="00F25164"/>
    <w:pPr>
      <w:spacing w:before="240" w:after="60"/>
      <w:outlineLvl w:val="7"/>
    </w:pPr>
    <w:rPr>
      <w:i/>
      <w:lang w:val="x-none"/>
    </w:rPr>
  </w:style>
  <w:style w:type="paragraph" w:styleId="Heading9">
    <w:name w:val="heading 9"/>
    <w:basedOn w:val="Normal"/>
    <w:next w:val="Normal"/>
    <w:link w:val="Heading9Char"/>
    <w:qFormat/>
    <w:rsid w:val="00F25164"/>
    <w:pPr>
      <w:spacing w:before="240" w:after="60"/>
      <w:outlineLvl w:val="8"/>
    </w:pPr>
    <w:rPr>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25164"/>
    <w:rPr>
      <w:noProof w:val="0"/>
      <w:vertAlign w:val="superscript"/>
      <w:lang w:val="fr-FR"/>
    </w:rPr>
  </w:style>
  <w:style w:type="character" w:styleId="FootnoteReference">
    <w:name w:val="footnote reference"/>
    <w:rsid w:val="00F25164"/>
    <w:rPr>
      <w:noProof w:val="0"/>
      <w:vertAlign w:val="superscript"/>
      <w:lang w:val="fr-FR"/>
    </w:rPr>
  </w:style>
  <w:style w:type="paragraph" w:customStyle="1" w:styleId="c1">
    <w:name w:val="c1"/>
    <w:rsid w:val="00F25164"/>
    <w:pPr>
      <w:widowControl w:val="0"/>
      <w:autoSpaceDE w:val="0"/>
      <w:autoSpaceDN w:val="0"/>
      <w:adjustRightInd w:val="0"/>
      <w:spacing w:after="120" w:line="220" w:lineRule="atLeast"/>
      <w:ind w:left="1440" w:right="480"/>
      <w:jc w:val="both"/>
    </w:pPr>
    <w:rPr>
      <w:rFonts w:ascii="Arial Narrow" w:hAnsi="Arial Narrow" w:cs="Helvetica"/>
      <w:lang w:val="fr-FR" w:eastAsia="fr-FR"/>
    </w:rPr>
  </w:style>
  <w:style w:type="paragraph" w:customStyle="1" w:styleId="ch1">
    <w:name w:val="ch1"/>
    <w:rsid w:val="00F25164"/>
    <w:pPr>
      <w:spacing w:after="160" w:line="220" w:lineRule="atLeast"/>
      <w:jc w:val="center"/>
    </w:pPr>
    <w:rPr>
      <w:rFonts w:ascii="Arial" w:hAnsi="Arial"/>
      <w:caps/>
      <w:sz w:val="24"/>
    </w:rPr>
  </w:style>
  <w:style w:type="paragraph" w:customStyle="1" w:styleId="ch2">
    <w:name w:val="ch2"/>
    <w:next w:val="p"/>
    <w:rsid w:val="00F25164"/>
    <w:pPr>
      <w:spacing w:after="600" w:line="480" w:lineRule="atLeast"/>
      <w:jc w:val="center"/>
    </w:pPr>
    <w:rPr>
      <w:rFonts w:ascii="Arial" w:hAnsi="Arial"/>
      <w:caps/>
      <w:sz w:val="36"/>
    </w:rPr>
  </w:style>
  <w:style w:type="paragraph" w:customStyle="1" w:styleId="chiffres2">
    <w:name w:val="chiffres 2"/>
    <w:basedOn w:val="chiffres"/>
    <w:rsid w:val="00F14451"/>
    <w:pPr>
      <w:spacing w:after="120" w:line="240" w:lineRule="atLeast"/>
      <w:ind w:left="74"/>
      <w:jc w:val="left"/>
    </w:pPr>
    <w:rPr>
      <w:b w:val="0"/>
    </w:rPr>
  </w:style>
  <w:style w:type="paragraph" w:customStyle="1" w:styleId="chiffres2-nu">
    <w:name w:val="chiffres 2-énu"/>
    <w:basedOn w:val="Normal"/>
    <w:rsid w:val="007A32CE"/>
    <w:pPr>
      <w:widowControl w:val="0"/>
      <w:spacing w:line="240" w:lineRule="atLeast"/>
      <w:ind w:left="264" w:hanging="264"/>
      <w:jc w:val="left"/>
    </w:pPr>
    <w:rPr>
      <w:rFonts w:ascii="Calibri" w:hAnsi="Calibri" w:cs="Calibri"/>
      <w:sz w:val="20"/>
    </w:rPr>
  </w:style>
  <w:style w:type="paragraph" w:customStyle="1" w:styleId="chiffres2-nu0">
    <w:name w:val="chiffres 2-énu."/>
    <w:basedOn w:val="Normal"/>
    <w:rsid w:val="00F25164"/>
    <w:pPr>
      <w:widowControl w:val="0"/>
      <w:spacing w:after="120" w:line="240" w:lineRule="atLeast"/>
      <w:ind w:left="266" w:hanging="266"/>
      <w:jc w:val="left"/>
    </w:pPr>
    <w:rPr>
      <w:rFonts w:ascii="Calibri" w:hAnsi="Calibri" w:cs="Calibri"/>
      <w:sz w:val="22"/>
    </w:rPr>
  </w:style>
  <w:style w:type="paragraph" w:customStyle="1" w:styleId="e1">
    <w:name w:val="e1"/>
    <w:link w:val="e1Car1"/>
    <w:rsid w:val="00763264"/>
    <w:pPr>
      <w:widowControl w:val="0"/>
      <w:spacing w:line="320" w:lineRule="atLeast"/>
      <w:ind w:left="1276" w:hanging="283"/>
      <w:jc w:val="both"/>
    </w:pPr>
    <w:rPr>
      <w:rFonts w:ascii="Arial Narrow" w:hAnsi="Arial Narrow"/>
      <w:sz w:val="22"/>
      <w:szCs w:val="22"/>
      <w:lang w:val="en-CA"/>
    </w:rPr>
  </w:style>
  <w:style w:type="paragraph" w:customStyle="1" w:styleId="e10">
    <w:name w:val="e1."/>
    <w:next w:val="p"/>
    <w:link w:val="e1Car"/>
    <w:rsid w:val="00F25164"/>
    <w:pPr>
      <w:spacing w:after="200" w:line="320" w:lineRule="atLeast"/>
      <w:ind w:left="1276" w:hanging="283"/>
      <w:jc w:val="both"/>
    </w:pPr>
    <w:rPr>
      <w:rFonts w:ascii="Arial Narrow" w:hAnsi="Arial Narrow"/>
      <w:sz w:val="22"/>
    </w:rPr>
  </w:style>
  <w:style w:type="paragraph" w:customStyle="1" w:styleId="e2">
    <w:name w:val="e2"/>
    <w:basedOn w:val="e1"/>
    <w:rsid w:val="00F25164"/>
    <w:pPr>
      <w:spacing w:line="240" w:lineRule="atLeast"/>
      <w:ind w:left="1701"/>
    </w:pPr>
  </w:style>
  <w:style w:type="paragraph" w:customStyle="1" w:styleId="e20">
    <w:name w:val="e2."/>
    <w:basedOn w:val="e2"/>
    <w:next w:val="p"/>
    <w:rsid w:val="00F25164"/>
    <w:pPr>
      <w:spacing w:after="200"/>
      <w:ind w:left="1702" w:hanging="284"/>
    </w:pPr>
  </w:style>
  <w:style w:type="paragraph" w:customStyle="1" w:styleId="e3">
    <w:name w:val="e3"/>
    <w:basedOn w:val="e2"/>
    <w:rsid w:val="00F25164"/>
    <w:pPr>
      <w:ind w:left="1985"/>
    </w:pPr>
  </w:style>
  <w:style w:type="paragraph" w:customStyle="1" w:styleId="e30">
    <w:name w:val="e3."/>
    <w:basedOn w:val="e20"/>
    <w:rsid w:val="00F25164"/>
    <w:pPr>
      <w:ind w:left="1985"/>
    </w:pPr>
  </w:style>
  <w:style w:type="paragraph" w:styleId="Header">
    <w:name w:val="header"/>
    <w:basedOn w:val="Normal"/>
    <w:link w:val="HeaderChar"/>
    <w:uiPriority w:val="99"/>
    <w:rsid w:val="00F25164"/>
    <w:pPr>
      <w:pBdr>
        <w:bottom w:val="single" w:sz="2" w:space="0" w:color="auto"/>
      </w:pBdr>
      <w:tabs>
        <w:tab w:val="right" w:pos="8364"/>
      </w:tabs>
    </w:pPr>
    <w:rPr>
      <w:rFonts w:ascii="Arial Narrow" w:hAnsi="Arial Narrow"/>
      <w:sz w:val="20"/>
      <w:lang w:val="x-none"/>
    </w:rPr>
  </w:style>
  <w:style w:type="character" w:customStyle="1" w:styleId="HeaderChar">
    <w:name w:val="Header Char"/>
    <w:link w:val="Header"/>
    <w:uiPriority w:val="99"/>
    <w:rsid w:val="00EC3A7E"/>
    <w:rPr>
      <w:rFonts w:ascii="Arial Narrow" w:hAnsi="Arial Narrow" w:cs="Times New Roman"/>
      <w:sz w:val="20"/>
      <w:szCs w:val="20"/>
      <w:lang w:eastAsia="fr-CA"/>
    </w:rPr>
  </w:style>
  <w:style w:type="table" w:styleId="TableGrid">
    <w:name w:val="Table Grid"/>
    <w:basedOn w:val="TableNormal"/>
    <w:rsid w:val="00F2516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25164"/>
    <w:rPr>
      <w:color w:val="0000FF"/>
      <w:u w:val="single"/>
    </w:rPr>
  </w:style>
  <w:style w:type="character" w:styleId="FollowedHyperlink">
    <w:name w:val="FollowedHyperlink"/>
    <w:rsid w:val="00F25164"/>
    <w:rPr>
      <w:color w:val="800080"/>
      <w:u w:val="single"/>
    </w:rPr>
  </w:style>
  <w:style w:type="paragraph" w:styleId="NormalWeb">
    <w:name w:val="Normal (Web)"/>
    <w:basedOn w:val="Normal"/>
    <w:uiPriority w:val="99"/>
    <w:rsid w:val="00F25164"/>
    <w:pPr>
      <w:spacing w:before="100" w:beforeAutospacing="1" w:after="100" w:afterAutospacing="1"/>
      <w:jc w:val="left"/>
    </w:pPr>
    <w:rPr>
      <w:rFonts w:ascii="Times New Roman" w:hAnsi="Times New Roman"/>
      <w:color w:val="0D214D"/>
      <w:lang w:val="fr-FR" w:eastAsia="fr-FR"/>
    </w:rPr>
  </w:style>
  <w:style w:type="paragraph" w:styleId="FootnoteText">
    <w:name w:val="footnote text"/>
    <w:basedOn w:val="Normal"/>
    <w:link w:val="FootnoteTextChar"/>
    <w:rsid w:val="00F25164"/>
    <w:pPr>
      <w:ind w:left="284" w:hanging="284"/>
    </w:pPr>
    <w:rPr>
      <w:rFonts w:ascii="Arial Narrow" w:hAnsi="Arial Narrow"/>
      <w:sz w:val="20"/>
      <w:lang w:val="x-none"/>
    </w:rPr>
  </w:style>
  <w:style w:type="character" w:customStyle="1" w:styleId="FootnoteTextChar">
    <w:name w:val="Footnote Text Char"/>
    <w:link w:val="FootnoteText"/>
    <w:rsid w:val="00EC3A7E"/>
    <w:rPr>
      <w:rFonts w:ascii="Arial Narrow" w:hAnsi="Arial Narrow" w:cs="Times New Roman"/>
      <w:sz w:val="20"/>
      <w:szCs w:val="20"/>
      <w:lang w:eastAsia="fr-CA"/>
    </w:rPr>
  </w:style>
  <w:style w:type="paragraph" w:styleId="EndnoteText">
    <w:name w:val="endnote text"/>
    <w:basedOn w:val="FootnoteText"/>
    <w:link w:val="EndnoteTextChar"/>
    <w:rsid w:val="00F25164"/>
  </w:style>
  <w:style w:type="character" w:customStyle="1" w:styleId="EndnoteTextChar">
    <w:name w:val="Endnote Text Char"/>
    <w:link w:val="EndnoteText"/>
    <w:rsid w:val="00EC3A7E"/>
    <w:rPr>
      <w:rFonts w:ascii="Arial Narrow" w:hAnsi="Arial Narrow" w:cs="Times New Roman"/>
      <w:sz w:val="20"/>
      <w:szCs w:val="20"/>
      <w:lang w:eastAsia="fr-CA"/>
    </w:rPr>
  </w:style>
  <w:style w:type="character" w:styleId="PageNumber">
    <w:name w:val="page number"/>
    <w:rsid w:val="00F25164"/>
    <w:rPr>
      <w:rFonts w:ascii="Arial" w:hAnsi="Arial"/>
      <w:noProof w:val="0"/>
      <w:sz w:val="18"/>
      <w:lang w:val="fr-FR"/>
    </w:rPr>
  </w:style>
  <w:style w:type="paragraph" w:customStyle="1" w:styleId="p">
    <w:name w:val="p."/>
    <w:link w:val="pCar"/>
    <w:rsid w:val="00763264"/>
    <w:pPr>
      <w:widowControl w:val="0"/>
      <w:spacing w:after="200" w:line="320" w:lineRule="atLeast"/>
      <w:ind w:left="993"/>
      <w:jc w:val="both"/>
    </w:pPr>
    <w:rPr>
      <w:rFonts w:ascii="Arial Narrow" w:hAnsi="Arial Narrow"/>
      <w:sz w:val="22"/>
      <w:szCs w:val="22"/>
      <w:lang w:val="en-CA"/>
    </w:rPr>
  </w:style>
  <w:style w:type="paragraph" w:customStyle="1" w:styleId="p0">
    <w:name w:val="p:"/>
    <w:basedOn w:val="Normal"/>
    <w:next w:val="e1"/>
    <w:link w:val="pCar0"/>
    <w:qFormat/>
    <w:rsid w:val="00A04FCB"/>
    <w:pPr>
      <w:widowControl w:val="0"/>
      <w:spacing w:line="320" w:lineRule="atLeast"/>
      <w:ind w:left="993"/>
    </w:pPr>
    <w:rPr>
      <w:rFonts w:ascii="Arial Narrow" w:hAnsi="Arial Narrow"/>
      <w:sz w:val="22"/>
      <w:lang w:val="en-CA" w:eastAsia="en-US"/>
    </w:rPr>
  </w:style>
  <w:style w:type="paragraph" w:styleId="Footer">
    <w:name w:val="footer"/>
    <w:basedOn w:val="Normal"/>
    <w:link w:val="FooterChar"/>
    <w:rsid w:val="00F25164"/>
    <w:pPr>
      <w:pBdr>
        <w:top w:val="single" w:sz="4" w:space="1" w:color="auto"/>
      </w:pBdr>
      <w:tabs>
        <w:tab w:val="left" w:pos="4253"/>
      </w:tabs>
      <w:spacing w:line="220" w:lineRule="atLeast"/>
    </w:pPr>
    <w:rPr>
      <w:rFonts w:ascii="Arial Narrow" w:hAnsi="Arial Narrow"/>
      <w:b/>
      <w:sz w:val="18"/>
      <w:lang w:val="x-none"/>
    </w:rPr>
  </w:style>
  <w:style w:type="character" w:customStyle="1" w:styleId="FooterChar">
    <w:name w:val="Footer Char"/>
    <w:link w:val="Footer"/>
    <w:rsid w:val="00EC3A7E"/>
    <w:rPr>
      <w:rFonts w:ascii="Arial Narrow" w:hAnsi="Arial Narrow" w:cs="Times New Roman"/>
      <w:b/>
      <w:sz w:val="18"/>
      <w:szCs w:val="20"/>
      <w:lang w:eastAsia="fr-CA"/>
    </w:rPr>
  </w:style>
  <w:style w:type="paragraph" w:customStyle="1" w:styleId="source">
    <w:name w:val="source"/>
    <w:basedOn w:val="Normal"/>
    <w:next w:val="p"/>
    <w:autoRedefine/>
    <w:rsid w:val="00175218"/>
    <w:pPr>
      <w:spacing w:before="120" w:after="160" w:line="280" w:lineRule="atLeast"/>
      <w:ind w:left="992"/>
    </w:pPr>
    <w:rPr>
      <w:rFonts w:ascii="Arial Narrow" w:hAnsi="Arial Narrow"/>
      <w:sz w:val="20"/>
      <w:lang w:val="en-CA"/>
    </w:rPr>
  </w:style>
  <w:style w:type="paragraph" w:customStyle="1" w:styleId="Premieren-tte">
    <w:name w:val="Premier en-tête"/>
    <w:basedOn w:val="Header"/>
    <w:rsid w:val="00F25164"/>
    <w:pPr>
      <w:pBdr>
        <w:bottom w:val="none" w:sz="0" w:space="0" w:color="auto"/>
      </w:pBdr>
    </w:pPr>
  </w:style>
  <w:style w:type="paragraph" w:customStyle="1" w:styleId="Premierpieddepage">
    <w:name w:val="Premier pied de page"/>
    <w:basedOn w:val="Footer"/>
    <w:rsid w:val="00F25164"/>
    <w:pPr>
      <w:pBdr>
        <w:top w:val="none" w:sz="0" w:space="0" w:color="auto"/>
      </w:pBdr>
    </w:pPr>
  </w:style>
  <w:style w:type="paragraph" w:customStyle="1" w:styleId="q1">
    <w:name w:val="q1"/>
    <w:rsid w:val="00586B88"/>
    <w:pPr>
      <w:tabs>
        <w:tab w:val="left" w:pos="993"/>
      </w:tabs>
      <w:spacing w:before="240" w:after="200" w:line="280" w:lineRule="atLeast"/>
      <w:ind w:left="993" w:hanging="284"/>
      <w:jc w:val="both"/>
    </w:pPr>
    <w:rPr>
      <w:rFonts w:ascii="Arial Narrow" w:hAnsi="Arial Narrow"/>
      <w:sz w:val="22"/>
    </w:rPr>
  </w:style>
  <w:style w:type="paragraph" w:customStyle="1" w:styleId="q10">
    <w:name w:val="q1:"/>
    <w:rsid w:val="00F25164"/>
    <w:pPr>
      <w:tabs>
        <w:tab w:val="left" w:pos="993"/>
      </w:tabs>
      <w:spacing w:after="80" w:line="240" w:lineRule="atLeast"/>
      <w:ind w:left="993" w:hanging="284"/>
      <w:jc w:val="both"/>
    </w:pPr>
    <w:rPr>
      <w:rFonts w:ascii="Arial Narrow" w:hAnsi="Arial Narrow"/>
      <w:sz w:val="22"/>
    </w:rPr>
  </w:style>
  <w:style w:type="paragraph" w:customStyle="1" w:styleId="q1a">
    <w:name w:val="q1a"/>
    <w:basedOn w:val="q10"/>
    <w:rsid w:val="00F25164"/>
    <w:pPr>
      <w:tabs>
        <w:tab w:val="clear" w:pos="993"/>
        <w:tab w:val="left" w:pos="1134"/>
      </w:tabs>
      <w:spacing w:before="120" w:after="120"/>
      <w:ind w:left="1418" w:hanging="709"/>
    </w:pPr>
  </w:style>
  <w:style w:type="paragraph" w:customStyle="1" w:styleId="q2">
    <w:name w:val="q2"/>
    <w:rsid w:val="00F25164"/>
    <w:pPr>
      <w:spacing w:line="240" w:lineRule="atLeast"/>
      <w:ind w:left="1520" w:hanging="320"/>
      <w:jc w:val="both"/>
    </w:pPr>
    <w:rPr>
      <w:rFonts w:ascii="Arial Narrow" w:hAnsi="Arial Narrow"/>
      <w:sz w:val="22"/>
    </w:rPr>
  </w:style>
  <w:style w:type="paragraph" w:customStyle="1" w:styleId="q20">
    <w:name w:val="q2."/>
    <w:rsid w:val="00F25164"/>
    <w:pPr>
      <w:spacing w:after="200" w:line="240" w:lineRule="atLeast"/>
      <w:ind w:left="1559" w:hanging="357"/>
      <w:jc w:val="both"/>
    </w:pPr>
    <w:rPr>
      <w:rFonts w:ascii="Arial Narrow" w:hAnsi="Arial Narrow"/>
      <w:sz w:val="22"/>
    </w:rPr>
  </w:style>
  <w:style w:type="paragraph" w:customStyle="1" w:styleId="q21">
    <w:name w:val="q2:"/>
    <w:rsid w:val="00F25164"/>
    <w:pPr>
      <w:spacing w:after="80" w:line="240" w:lineRule="atLeast"/>
      <w:ind w:left="1559" w:hanging="357"/>
      <w:jc w:val="both"/>
    </w:pPr>
    <w:rPr>
      <w:rFonts w:ascii="Arial Narrow" w:hAnsi="Arial Narrow"/>
      <w:sz w:val="22"/>
    </w:rPr>
  </w:style>
  <w:style w:type="paragraph" w:customStyle="1" w:styleId="Signature1">
    <w:name w:val="Signature1"/>
    <w:basedOn w:val="source"/>
    <w:rsid w:val="00F25164"/>
    <w:rPr>
      <w:sz w:val="22"/>
    </w:rPr>
  </w:style>
  <w:style w:type="paragraph" w:customStyle="1" w:styleId="tab">
    <w:name w:val="tab"/>
    <w:basedOn w:val="Normal"/>
    <w:rsid w:val="00F25164"/>
    <w:pPr>
      <w:widowControl w:val="0"/>
      <w:tabs>
        <w:tab w:val="right" w:leader="dot" w:pos="7620"/>
        <w:tab w:val="right" w:leader="dot" w:pos="8789"/>
      </w:tabs>
      <w:ind w:left="992" w:right="23"/>
      <w:jc w:val="left"/>
    </w:pPr>
    <w:rPr>
      <w:rFonts w:ascii="Arial Narrow" w:hAnsi="Arial Narrow"/>
      <w:sz w:val="22"/>
    </w:rPr>
  </w:style>
  <w:style w:type="paragraph" w:customStyle="1" w:styleId="tabe1">
    <w:name w:val="tab e1"/>
    <w:basedOn w:val="e1"/>
    <w:rsid w:val="00F25164"/>
    <w:pPr>
      <w:tabs>
        <w:tab w:val="right" w:leader="dot" w:pos="8364"/>
      </w:tabs>
      <w:ind w:left="993" w:right="466" w:firstLine="0"/>
    </w:pPr>
    <w:rPr>
      <w:noProof/>
    </w:rPr>
  </w:style>
  <w:style w:type="paragraph" w:customStyle="1" w:styleId="tabe2">
    <w:name w:val="tab e2"/>
    <w:basedOn w:val="e2"/>
    <w:rsid w:val="00F25164"/>
    <w:pPr>
      <w:tabs>
        <w:tab w:val="right" w:pos="8364"/>
      </w:tabs>
      <w:ind w:left="1780" w:right="466"/>
    </w:pPr>
  </w:style>
  <w:style w:type="paragraph" w:customStyle="1" w:styleId="tab2">
    <w:name w:val="tab2"/>
    <w:basedOn w:val="tab"/>
    <w:rsid w:val="00F25164"/>
    <w:pPr>
      <w:tabs>
        <w:tab w:val="clear" w:pos="7620"/>
        <w:tab w:val="right" w:pos="7655"/>
        <w:tab w:val="right" w:pos="8860"/>
      </w:tabs>
    </w:pPr>
    <w:rPr>
      <w:b/>
    </w:rPr>
  </w:style>
  <w:style w:type="paragraph" w:customStyle="1" w:styleId="tabt2">
    <w:name w:val="tabt2"/>
    <w:basedOn w:val="Normal"/>
    <w:rsid w:val="00F25164"/>
    <w:pPr>
      <w:tabs>
        <w:tab w:val="right" w:pos="8364"/>
      </w:tabs>
      <w:spacing w:before="240" w:after="80" w:line="280" w:lineRule="atLeast"/>
      <w:ind w:left="993" w:right="466"/>
      <w:jc w:val="left"/>
    </w:pPr>
    <w:rPr>
      <w:b/>
    </w:rPr>
  </w:style>
  <w:style w:type="paragraph" w:styleId="BalloonText">
    <w:name w:val="Balloon Text"/>
    <w:basedOn w:val="Normal"/>
    <w:link w:val="BalloonTextChar"/>
    <w:rsid w:val="00F25164"/>
    <w:rPr>
      <w:rFonts w:ascii="Tahoma" w:hAnsi="Tahoma"/>
      <w:sz w:val="16"/>
      <w:szCs w:val="16"/>
      <w:lang w:val="x-none"/>
    </w:rPr>
  </w:style>
  <w:style w:type="character" w:customStyle="1" w:styleId="BalloonTextChar">
    <w:name w:val="Balloon Text Char"/>
    <w:link w:val="BalloonText"/>
    <w:rsid w:val="00EC3A7E"/>
    <w:rPr>
      <w:rFonts w:ascii="Tahoma" w:hAnsi="Tahoma" w:cs="Tahoma"/>
      <w:sz w:val="16"/>
      <w:szCs w:val="16"/>
      <w:lang w:eastAsia="fr-CA"/>
    </w:rPr>
  </w:style>
  <w:style w:type="character" w:customStyle="1" w:styleId="Heading1Char">
    <w:name w:val="Heading 1 Char"/>
    <w:link w:val="Heading1"/>
    <w:rsid w:val="00EC3A7E"/>
    <w:rPr>
      <w:rFonts w:ascii="Arial" w:hAnsi="Arial" w:cs="Times New Roman"/>
      <w:caps/>
      <w:spacing w:val="-4"/>
      <w:kern w:val="28"/>
      <w:sz w:val="28"/>
      <w:szCs w:val="20"/>
      <w:lang w:eastAsia="fr-CA"/>
    </w:rPr>
  </w:style>
  <w:style w:type="character" w:customStyle="1" w:styleId="Heading2Char">
    <w:name w:val="Heading 2 Char"/>
    <w:link w:val="Heading2"/>
    <w:rsid w:val="00EC3A7E"/>
    <w:rPr>
      <w:rFonts w:ascii="Arial" w:hAnsi="Arial" w:cs="Times New Roman"/>
      <w:b/>
      <w:spacing w:val="-4"/>
      <w:sz w:val="24"/>
      <w:szCs w:val="20"/>
      <w:lang w:eastAsia="fr-CA"/>
    </w:rPr>
  </w:style>
  <w:style w:type="character" w:customStyle="1" w:styleId="Heading3Char">
    <w:name w:val="Heading 3 Char"/>
    <w:link w:val="Heading3"/>
    <w:rsid w:val="00EC3A7E"/>
    <w:rPr>
      <w:rFonts w:ascii="Arial Narrow" w:hAnsi="Arial Narrow" w:cs="Times New Roman"/>
      <w:i/>
      <w:spacing w:val="-2"/>
      <w:sz w:val="24"/>
      <w:szCs w:val="24"/>
      <w:lang w:eastAsia="fr-FR"/>
    </w:rPr>
  </w:style>
  <w:style w:type="character" w:customStyle="1" w:styleId="Heading4Char">
    <w:name w:val="Heading 4 Char"/>
    <w:link w:val="Heading4"/>
    <w:rsid w:val="00EC3A7E"/>
    <w:rPr>
      <w:rFonts w:ascii="Arial Black" w:hAnsi="Arial Black" w:cs="Times New Roman"/>
      <w:spacing w:val="-4"/>
      <w:sz w:val="20"/>
      <w:szCs w:val="20"/>
      <w:lang w:eastAsia="fr-CA"/>
    </w:rPr>
  </w:style>
  <w:style w:type="character" w:customStyle="1" w:styleId="Heading5Char">
    <w:name w:val="Heading 5 Char"/>
    <w:link w:val="Heading5"/>
    <w:rsid w:val="00EC3A7E"/>
    <w:rPr>
      <w:rFonts w:ascii="Calibri" w:hAnsi="Calibri" w:cs="Calibri"/>
      <w:b/>
      <w:lang w:eastAsia="fr-CA"/>
    </w:rPr>
  </w:style>
  <w:style w:type="character" w:customStyle="1" w:styleId="Heading6Char">
    <w:name w:val="Heading 6 Char"/>
    <w:link w:val="Heading6"/>
    <w:rsid w:val="00EC3A7E"/>
    <w:rPr>
      <w:rFonts w:ascii="Arial" w:hAnsi="Arial" w:cs="Times New Roman"/>
      <w:i/>
      <w:szCs w:val="20"/>
      <w:lang w:eastAsia="fr-CA"/>
    </w:rPr>
  </w:style>
  <w:style w:type="character" w:customStyle="1" w:styleId="Heading7Char">
    <w:name w:val="Heading 7 Char"/>
    <w:link w:val="Heading7"/>
    <w:rsid w:val="00EC3A7E"/>
    <w:rPr>
      <w:rFonts w:ascii="Arial" w:hAnsi="Arial" w:cs="Times New Roman"/>
      <w:sz w:val="24"/>
      <w:szCs w:val="20"/>
      <w:lang w:eastAsia="fr-CA"/>
    </w:rPr>
  </w:style>
  <w:style w:type="character" w:customStyle="1" w:styleId="Heading8Char">
    <w:name w:val="Heading 8 Char"/>
    <w:link w:val="Heading8"/>
    <w:rsid w:val="00EC3A7E"/>
    <w:rPr>
      <w:rFonts w:ascii="Arial" w:hAnsi="Arial" w:cs="Times New Roman"/>
      <w:i/>
      <w:sz w:val="24"/>
      <w:szCs w:val="20"/>
      <w:lang w:eastAsia="fr-CA"/>
    </w:rPr>
  </w:style>
  <w:style w:type="character" w:customStyle="1" w:styleId="Heading9Char">
    <w:name w:val="Heading 9 Char"/>
    <w:link w:val="Heading9"/>
    <w:rsid w:val="00EC3A7E"/>
    <w:rPr>
      <w:rFonts w:ascii="Arial" w:hAnsi="Arial" w:cs="Times New Roman"/>
      <w:b/>
      <w:i/>
      <w:sz w:val="18"/>
      <w:szCs w:val="20"/>
      <w:lang w:eastAsia="fr-CA"/>
    </w:rPr>
  </w:style>
  <w:style w:type="paragraph" w:styleId="TOC1">
    <w:name w:val="toc 1"/>
    <w:basedOn w:val="Normal"/>
    <w:next w:val="Normal"/>
    <w:autoRedefine/>
    <w:uiPriority w:val="39"/>
    <w:rsid w:val="00F25164"/>
    <w:pPr>
      <w:spacing w:before="120" w:after="120"/>
      <w:jc w:val="left"/>
    </w:pPr>
    <w:rPr>
      <w:rFonts w:ascii="Arial Narrow" w:hAnsi="Arial Narrow"/>
      <w:b/>
      <w:caps/>
    </w:rPr>
  </w:style>
  <w:style w:type="paragraph" w:styleId="TOC2">
    <w:name w:val="toc 2"/>
    <w:basedOn w:val="Normal"/>
    <w:next w:val="Normal"/>
    <w:autoRedefine/>
    <w:uiPriority w:val="39"/>
    <w:rsid w:val="00F25164"/>
    <w:pPr>
      <w:ind w:left="240"/>
      <w:jc w:val="left"/>
    </w:pPr>
    <w:rPr>
      <w:rFonts w:ascii="Arial Narrow" w:hAnsi="Arial Narrow"/>
      <w:sz w:val="22"/>
    </w:rPr>
  </w:style>
  <w:style w:type="paragraph" w:styleId="TOC3">
    <w:name w:val="toc 3"/>
    <w:basedOn w:val="Normal"/>
    <w:next w:val="Normal"/>
    <w:autoRedefine/>
    <w:uiPriority w:val="39"/>
    <w:rsid w:val="00F25164"/>
    <w:pPr>
      <w:ind w:left="480"/>
      <w:jc w:val="left"/>
    </w:pPr>
    <w:rPr>
      <w:rFonts w:ascii="Arial Narrow" w:hAnsi="Arial Narrow"/>
      <w:i/>
      <w:sz w:val="20"/>
    </w:rPr>
  </w:style>
  <w:style w:type="paragraph" w:styleId="TOC4">
    <w:name w:val="toc 4"/>
    <w:basedOn w:val="Normal"/>
    <w:next w:val="Normal"/>
    <w:autoRedefine/>
    <w:semiHidden/>
    <w:rsid w:val="00F25164"/>
    <w:pPr>
      <w:tabs>
        <w:tab w:val="right" w:leader="dot" w:pos="8364"/>
      </w:tabs>
      <w:ind w:left="720"/>
      <w:jc w:val="left"/>
    </w:pPr>
    <w:rPr>
      <w:rFonts w:ascii="Times New Roman" w:hAnsi="Times New Roman"/>
      <w:sz w:val="18"/>
    </w:rPr>
  </w:style>
  <w:style w:type="paragraph" w:styleId="TOC5">
    <w:name w:val="toc 5"/>
    <w:basedOn w:val="Normal"/>
    <w:next w:val="Normal"/>
    <w:autoRedefine/>
    <w:semiHidden/>
    <w:rsid w:val="00F25164"/>
    <w:pPr>
      <w:ind w:left="960"/>
    </w:pPr>
  </w:style>
  <w:style w:type="paragraph" w:styleId="TOC6">
    <w:name w:val="toc 6"/>
    <w:basedOn w:val="Normal"/>
    <w:next w:val="Normal"/>
    <w:autoRedefine/>
    <w:semiHidden/>
    <w:rsid w:val="00F25164"/>
    <w:pPr>
      <w:ind w:left="1200"/>
    </w:pPr>
  </w:style>
  <w:style w:type="paragraph" w:styleId="TOC7">
    <w:name w:val="toc 7"/>
    <w:basedOn w:val="Normal"/>
    <w:next w:val="Normal"/>
    <w:autoRedefine/>
    <w:semiHidden/>
    <w:rsid w:val="00F25164"/>
    <w:pPr>
      <w:ind w:left="1440"/>
    </w:pPr>
  </w:style>
  <w:style w:type="paragraph" w:styleId="TOC8">
    <w:name w:val="toc 8"/>
    <w:basedOn w:val="Normal"/>
    <w:next w:val="Normal"/>
    <w:autoRedefine/>
    <w:semiHidden/>
    <w:rsid w:val="00F25164"/>
    <w:pPr>
      <w:ind w:left="1680"/>
    </w:pPr>
  </w:style>
  <w:style w:type="paragraph" w:styleId="TOC9">
    <w:name w:val="toc 9"/>
    <w:basedOn w:val="Normal"/>
    <w:next w:val="Normal"/>
    <w:autoRedefine/>
    <w:semiHidden/>
    <w:rsid w:val="00F25164"/>
    <w:pPr>
      <w:ind w:left="1920"/>
    </w:pPr>
  </w:style>
  <w:style w:type="paragraph" w:styleId="CommentSubject">
    <w:name w:val="annotation subject"/>
    <w:basedOn w:val="Normal"/>
    <w:next w:val="TOC2"/>
    <w:link w:val="CommentSubjectChar"/>
    <w:rsid w:val="00F25164"/>
    <w:rPr>
      <w:b/>
      <w:bCs/>
      <w:sz w:val="20"/>
      <w:lang w:val="x-none"/>
    </w:rPr>
  </w:style>
  <w:style w:type="character" w:customStyle="1" w:styleId="CommentSubjectChar">
    <w:name w:val="Comment Subject Char"/>
    <w:link w:val="CommentSubject"/>
    <w:rsid w:val="00295A46"/>
    <w:rPr>
      <w:rFonts w:ascii="Arial" w:hAnsi="Arial" w:cs="Times New Roman"/>
      <w:b/>
      <w:bCs/>
      <w:sz w:val="20"/>
      <w:szCs w:val="20"/>
      <w:lang w:eastAsia="fr-CA"/>
    </w:rPr>
  </w:style>
  <w:style w:type="paragraph" w:customStyle="1" w:styleId="chiffres">
    <w:name w:val="chiffres"/>
    <w:basedOn w:val="Normal"/>
    <w:rsid w:val="00F25164"/>
    <w:pPr>
      <w:spacing w:after="80"/>
      <w:jc w:val="center"/>
    </w:pPr>
    <w:rPr>
      <w:rFonts w:ascii="Calibri" w:hAnsi="Calibri" w:cs="Calibri"/>
      <w:b/>
      <w:bCs/>
      <w:sz w:val="22"/>
      <w:szCs w:val="22"/>
    </w:rPr>
  </w:style>
  <w:style w:type="paragraph" w:styleId="CommentText">
    <w:name w:val="annotation text"/>
    <w:basedOn w:val="Normal"/>
    <w:link w:val="CommentTextChar"/>
    <w:uiPriority w:val="99"/>
    <w:semiHidden/>
    <w:unhideWhenUsed/>
    <w:rsid w:val="00F25164"/>
    <w:rPr>
      <w:sz w:val="20"/>
      <w:lang w:val="x-none"/>
    </w:rPr>
  </w:style>
  <w:style w:type="character" w:customStyle="1" w:styleId="CommentTextChar">
    <w:name w:val="Comment Text Char"/>
    <w:link w:val="CommentText"/>
    <w:uiPriority w:val="99"/>
    <w:semiHidden/>
    <w:rsid w:val="00F25164"/>
    <w:rPr>
      <w:rFonts w:ascii="Arial" w:hAnsi="Arial" w:cs="Times New Roman"/>
      <w:sz w:val="20"/>
      <w:szCs w:val="20"/>
      <w:lang w:eastAsia="fr-CA"/>
    </w:rPr>
  </w:style>
  <w:style w:type="character" w:styleId="Strong">
    <w:name w:val="Strong"/>
    <w:uiPriority w:val="22"/>
    <w:qFormat/>
    <w:rsid w:val="00F25164"/>
    <w:rPr>
      <w:b/>
      <w:bCs/>
    </w:rPr>
  </w:style>
  <w:style w:type="character" w:customStyle="1" w:styleId="nouveaute">
    <w:name w:val="nouveaute"/>
    <w:basedOn w:val="DefaultParagraphFont"/>
    <w:rsid w:val="00F25164"/>
  </w:style>
  <w:style w:type="character" w:customStyle="1" w:styleId="pCar">
    <w:name w:val="p. Car"/>
    <w:link w:val="p"/>
    <w:rsid w:val="00763264"/>
    <w:rPr>
      <w:rFonts w:ascii="Arial Narrow" w:hAnsi="Arial Narrow"/>
      <w:sz w:val="22"/>
      <w:szCs w:val="22"/>
      <w:lang w:val="en-CA" w:bidi="ar-SA"/>
    </w:rPr>
  </w:style>
  <w:style w:type="character" w:customStyle="1" w:styleId="e1Car1">
    <w:name w:val="e1 Car1"/>
    <w:link w:val="e1"/>
    <w:rsid w:val="00763264"/>
    <w:rPr>
      <w:rFonts w:ascii="Arial Narrow" w:hAnsi="Arial Narrow"/>
      <w:sz w:val="22"/>
      <w:szCs w:val="22"/>
      <w:lang w:val="en-CA" w:bidi="ar-SA"/>
    </w:rPr>
  </w:style>
  <w:style w:type="paragraph" w:customStyle="1" w:styleId="Default">
    <w:name w:val="Default"/>
    <w:rsid w:val="00ED0E89"/>
    <w:pPr>
      <w:autoSpaceDE w:val="0"/>
      <w:autoSpaceDN w:val="0"/>
      <w:adjustRightInd w:val="0"/>
    </w:pPr>
    <w:rPr>
      <w:rFonts w:ascii="Garamond" w:hAnsi="Garamond" w:cs="Garamond"/>
      <w:color w:val="000000"/>
      <w:sz w:val="24"/>
      <w:szCs w:val="24"/>
      <w:lang w:eastAsia="en-US"/>
    </w:rPr>
  </w:style>
  <w:style w:type="character" w:styleId="CommentReference">
    <w:name w:val="annotation reference"/>
    <w:uiPriority w:val="99"/>
    <w:semiHidden/>
    <w:unhideWhenUsed/>
    <w:rsid w:val="00ED0E89"/>
    <w:rPr>
      <w:sz w:val="16"/>
      <w:szCs w:val="16"/>
    </w:rPr>
  </w:style>
  <w:style w:type="paragraph" w:styleId="Revision">
    <w:name w:val="Revision"/>
    <w:hidden/>
    <w:uiPriority w:val="99"/>
    <w:semiHidden/>
    <w:rsid w:val="00ED0E89"/>
    <w:rPr>
      <w:rFonts w:ascii="Arial" w:hAnsi="Arial"/>
      <w:sz w:val="24"/>
    </w:rPr>
  </w:style>
  <w:style w:type="paragraph" w:customStyle="1" w:styleId="Signature2">
    <w:name w:val="Signature2"/>
    <w:basedOn w:val="Normal"/>
    <w:rsid w:val="00ED0E89"/>
    <w:pPr>
      <w:spacing w:before="120" w:after="160" w:line="280" w:lineRule="atLeast"/>
      <w:ind w:left="992"/>
    </w:pPr>
    <w:rPr>
      <w:rFonts w:ascii="Arial Narrow" w:hAnsi="Arial Narrow"/>
      <w:i/>
      <w:sz w:val="22"/>
    </w:rPr>
  </w:style>
  <w:style w:type="character" w:styleId="Emphasis">
    <w:name w:val="Emphasis"/>
    <w:uiPriority w:val="20"/>
    <w:qFormat/>
    <w:rsid w:val="00F92F82"/>
    <w:rPr>
      <w:i/>
      <w:iCs/>
    </w:rPr>
  </w:style>
  <w:style w:type="paragraph" w:customStyle="1" w:styleId="figure">
    <w:name w:val="figure"/>
    <w:basedOn w:val="Normal"/>
    <w:qFormat/>
    <w:rsid w:val="00ED0E89"/>
    <w:pPr>
      <w:ind w:left="-1560" w:right="-1096"/>
      <w:jc w:val="center"/>
    </w:pPr>
  </w:style>
  <w:style w:type="paragraph" w:styleId="ListParagraph">
    <w:name w:val="List Paragraph"/>
    <w:basedOn w:val="Normal"/>
    <w:uiPriority w:val="34"/>
    <w:qFormat/>
    <w:rsid w:val="00981EC0"/>
    <w:pPr>
      <w:spacing w:after="200" w:line="276" w:lineRule="auto"/>
      <w:ind w:left="720"/>
      <w:contextualSpacing/>
      <w:jc w:val="left"/>
    </w:pPr>
    <w:rPr>
      <w:rFonts w:ascii="Calibri" w:eastAsia="Calibri" w:hAnsi="Calibri"/>
      <w:sz w:val="22"/>
      <w:szCs w:val="22"/>
      <w:lang w:val="en-US" w:eastAsia="en-US"/>
    </w:rPr>
  </w:style>
  <w:style w:type="paragraph" w:customStyle="1" w:styleId="regtitleold-e">
    <w:name w:val="regtitleold-e"/>
    <w:basedOn w:val="Normal"/>
    <w:rsid w:val="005321B0"/>
    <w:pPr>
      <w:keepNext/>
      <w:tabs>
        <w:tab w:val="left" w:pos="0"/>
        <w:tab w:val="right" w:pos="14400"/>
      </w:tabs>
      <w:suppressAutoHyphens/>
      <w:snapToGrid w:val="0"/>
      <w:spacing w:after="139" w:line="224" w:lineRule="exact"/>
      <w:jc w:val="center"/>
    </w:pPr>
    <w:rPr>
      <w:rFonts w:ascii="Times New (W1)" w:hAnsi="Times New (W1)"/>
      <w:caps/>
      <w:sz w:val="20"/>
      <w:lang w:val="en-GB" w:eastAsia="en-US"/>
    </w:rPr>
  </w:style>
  <w:style w:type="paragraph" w:customStyle="1" w:styleId="regaction-e">
    <w:name w:val="regaction-e"/>
    <w:basedOn w:val="Normal"/>
    <w:rsid w:val="005321B0"/>
    <w:pPr>
      <w:keepNext/>
      <w:suppressAutoHyphens/>
      <w:jc w:val="center"/>
    </w:pPr>
    <w:rPr>
      <w:rFonts w:ascii="Times New Roman" w:hAnsi="Times New Roman"/>
      <w:sz w:val="20"/>
      <w:lang w:val="en-GB" w:eastAsia="en-US"/>
    </w:rPr>
  </w:style>
  <w:style w:type="character" w:customStyle="1" w:styleId="apple-converted-space">
    <w:name w:val="apple-converted-space"/>
    <w:basedOn w:val="DefaultParagraphFont"/>
    <w:rsid w:val="007376F7"/>
  </w:style>
  <w:style w:type="character" w:customStyle="1" w:styleId="pCar0">
    <w:name w:val="p: Car"/>
    <w:link w:val="p0"/>
    <w:rsid w:val="00A04FCB"/>
    <w:rPr>
      <w:rFonts w:ascii="Arial Narrow" w:hAnsi="Arial Narrow"/>
      <w:sz w:val="22"/>
      <w:lang w:val="en-CA" w:eastAsia="en-US"/>
    </w:rPr>
  </w:style>
  <w:style w:type="character" w:customStyle="1" w:styleId="e1Car">
    <w:name w:val="e1. Car"/>
    <w:link w:val="e10"/>
    <w:rsid w:val="00A04FCB"/>
    <w:rPr>
      <w:rFonts w:ascii="Arial Narrow" w:hAnsi="Arial Narro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E89"/>
    <w:pPr>
      <w:jc w:val="both"/>
    </w:pPr>
    <w:rPr>
      <w:rFonts w:ascii="Arial" w:hAnsi="Arial"/>
      <w:sz w:val="24"/>
    </w:rPr>
  </w:style>
  <w:style w:type="paragraph" w:styleId="Heading1">
    <w:name w:val="heading 1"/>
    <w:basedOn w:val="Normal"/>
    <w:next w:val="p"/>
    <w:link w:val="Heading1Char"/>
    <w:qFormat/>
    <w:rsid w:val="00F25164"/>
    <w:pPr>
      <w:keepNext/>
      <w:keepLines/>
      <w:spacing w:before="600" w:after="80" w:line="320" w:lineRule="atLeast"/>
      <w:outlineLvl w:val="0"/>
    </w:pPr>
    <w:rPr>
      <w:caps/>
      <w:spacing w:val="-4"/>
      <w:kern w:val="28"/>
      <w:sz w:val="28"/>
      <w:lang w:val="x-none"/>
    </w:rPr>
  </w:style>
  <w:style w:type="paragraph" w:styleId="Heading2">
    <w:name w:val="heading 2"/>
    <w:basedOn w:val="Normal"/>
    <w:next w:val="p"/>
    <w:link w:val="Heading2Char"/>
    <w:qFormat/>
    <w:rsid w:val="00F25164"/>
    <w:pPr>
      <w:keepNext/>
      <w:keepLines/>
      <w:spacing w:before="240" w:after="80" w:line="280" w:lineRule="atLeast"/>
      <w:ind w:left="851"/>
      <w:jc w:val="left"/>
      <w:outlineLvl w:val="1"/>
    </w:pPr>
    <w:rPr>
      <w:b/>
      <w:spacing w:val="-4"/>
      <w:lang w:val="x-none"/>
    </w:rPr>
  </w:style>
  <w:style w:type="paragraph" w:styleId="Heading3">
    <w:name w:val="heading 3"/>
    <w:basedOn w:val="Normal"/>
    <w:next w:val="p"/>
    <w:link w:val="Heading3Char"/>
    <w:qFormat/>
    <w:rsid w:val="00747488"/>
    <w:pPr>
      <w:keepNext/>
      <w:keepLines/>
      <w:spacing w:before="120" w:after="80" w:line="280" w:lineRule="atLeast"/>
      <w:ind w:left="992"/>
      <w:jc w:val="left"/>
      <w:outlineLvl w:val="2"/>
    </w:pPr>
    <w:rPr>
      <w:rFonts w:ascii="Arial Narrow" w:hAnsi="Arial Narrow"/>
      <w:i/>
      <w:spacing w:val="-2"/>
      <w:szCs w:val="24"/>
      <w:lang w:val="x-none" w:eastAsia="fr-FR"/>
    </w:rPr>
  </w:style>
  <w:style w:type="paragraph" w:styleId="Heading4">
    <w:name w:val="heading 4"/>
    <w:basedOn w:val="Normal"/>
    <w:next w:val="Normal"/>
    <w:link w:val="Heading4Char"/>
    <w:qFormat/>
    <w:rsid w:val="00F25164"/>
    <w:pPr>
      <w:keepNext/>
      <w:keepLines/>
      <w:spacing w:line="220" w:lineRule="atLeast"/>
      <w:ind w:left="993"/>
      <w:jc w:val="left"/>
      <w:outlineLvl w:val="3"/>
    </w:pPr>
    <w:rPr>
      <w:rFonts w:ascii="Arial Black" w:hAnsi="Arial Black"/>
      <w:spacing w:val="-4"/>
      <w:sz w:val="20"/>
      <w:lang w:val="x-none"/>
    </w:rPr>
  </w:style>
  <w:style w:type="paragraph" w:styleId="Heading5">
    <w:name w:val="heading 5"/>
    <w:basedOn w:val="Normal"/>
    <w:next w:val="Normal"/>
    <w:link w:val="Heading5Char"/>
    <w:qFormat/>
    <w:rsid w:val="00F25164"/>
    <w:pPr>
      <w:spacing w:after="80"/>
      <w:jc w:val="center"/>
      <w:outlineLvl w:val="4"/>
    </w:pPr>
    <w:rPr>
      <w:rFonts w:ascii="Calibri" w:hAnsi="Calibri"/>
      <w:b/>
      <w:sz w:val="20"/>
      <w:lang w:val="x-none"/>
    </w:rPr>
  </w:style>
  <w:style w:type="paragraph" w:styleId="Heading6">
    <w:name w:val="heading 6"/>
    <w:basedOn w:val="Normal"/>
    <w:next w:val="Normal"/>
    <w:link w:val="Heading6Char"/>
    <w:qFormat/>
    <w:rsid w:val="00F25164"/>
    <w:pPr>
      <w:spacing w:before="240" w:after="60"/>
      <w:outlineLvl w:val="5"/>
    </w:pPr>
    <w:rPr>
      <w:i/>
      <w:sz w:val="20"/>
      <w:lang w:val="x-none"/>
    </w:rPr>
  </w:style>
  <w:style w:type="paragraph" w:styleId="Heading7">
    <w:name w:val="heading 7"/>
    <w:basedOn w:val="Normal"/>
    <w:next w:val="Normal"/>
    <w:link w:val="Heading7Char"/>
    <w:qFormat/>
    <w:rsid w:val="00F25164"/>
    <w:pPr>
      <w:spacing w:before="240" w:after="60"/>
      <w:outlineLvl w:val="6"/>
    </w:pPr>
    <w:rPr>
      <w:lang w:val="x-none"/>
    </w:rPr>
  </w:style>
  <w:style w:type="paragraph" w:styleId="Heading8">
    <w:name w:val="heading 8"/>
    <w:basedOn w:val="Normal"/>
    <w:next w:val="Normal"/>
    <w:link w:val="Heading8Char"/>
    <w:qFormat/>
    <w:rsid w:val="00F25164"/>
    <w:pPr>
      <w:spacing w:before="240" w:after="60"/>
      <w:outlineLvl w:val="7"/>
    </w:pPr>
    <w:rPr>
      <w:i/>
      <w:lang w:val="x-none"/>
    </w:rPr>
  </w:style>
  <w:style w:type="paragraph" w:styleId="Heading9">
    <w:name w:val="heading 9"/>
    <w:basedOn w:val="Normal"/>
    <w:next w:val="Normal"/>
    <w:link w:val="Heading9Char"/>
    <w:qFormat/>
    <w:rsid w:val="00F25164"/>
    <w:pPr>
      <w:spacing w:before="240" w:after="60"/>
      <w:outlineLvl w:val="8"/>
    </w:pPr>
    <w:rPr>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25164"/>
    <w:rPr>
      <w:noProof w:val="0"/>
      <w:vertAlign w:val="superscript"/>
      <w:lang w:val="fr-FR"/>
    </w:rPr>
  </w:style>
  <w:style w:type="character" w:styleId="FootnoteReference">
    <w:name w:val="footnote reference"/>
    <w:rsid w:val="00F25164"/>
    <w:rPr>
      <w:noProof w:val="0"/>
      <w:vertAlign w:val="superscript"/>
      <w:lang w:val="fr-FR"/>
    </w:rPr>
  </w:style>
  <w:style w:type="paragraph" w:customStyle="1" w:styleId="c1">
    <w:name w:val="c1"/>
    <w:rsid w:val="00F25164"/>
    <w:pPr>
      <w:widowControl w:val="0"/>
      <w:autoSpaceDE w:val="0"/>
      <w:autoSpaceDN w:val="0"/>
      <w:adjustRightInd w:val="0"/>
      <w:spacing w:after="120" w:line="220" w:lineRule="atLeast"/>
      <w:ind w:left="1440" w:right="480"/>
      <w:jc w:val="both"/>
    </w:pPr>
    <w:rPr>
      <w:rFonts w:ascii="Arial Narrow" w:hAnsi="Arial Narrow" w:cs="Helvetica"/>
      <w:lang w:val="fr-FR" w:eastAsia="fr-FR"/>
    </w:rPr>
  </w:style>
  <w:style w:type="paragraph" w:customStyle="1" w:styleId="ch1">
    <w:name w:val="ch1"/>
    <w:rsid w:val="00F25164"/>
    <w:pPr>
      <w:spacing w:after="160" w:line="220" w:lineRule="atLeast"/>
      <w:jc w:val="center"/>
    </w:pPr>
    <w:rPr>
      <w:rFonts w:ascii="Arial" w:hAnsi="Arial"/>
      <w:caps/>
      <w:sz w:val="24"/>
    </w:rPr>
  </w:style>
  <w:style w:type="paragraph" w:customStyle="1" w:styleId="ch2">
    <w:name w:val="ch2"/>
    <w:next w:val="p"/>
    <w:rsid w:val="00F25164"/>
    <w:pPr>
      <w:spacing w:after="600" w:line="480" w:lineRule="atLeast"/>
      <w:jc w:val="center"/>
    </w:pPr>
    <w:rPr>
      <w:rFonts w:ascii="Arial" w:hAnsi="Arial"/>
      <w:caps/>
      <w:sz w:val="36"/>
    </w:rPr>
  </w:style>
  <w:style w:type="paragraph" w:customStyle="1" w:styleId="chiffres2">
    <w:name w:val="chiffres 2"/>
    <w:basedOn w:val="chiffres"/>
    <w:rsid w:val="00F14451"/>
    <w:pPr>
      <w:spacing w:after="120" w:line="240" w:lineRule="atLeast"/>
      <w:ind w:left="74"/>
      <w:jc w:val="left"/>
    </w:pPr>
    <w:rPr>
      <w:b w:val="0"/>
    </w:rPr>
  </w:style>
  <w:style w:type="paragraph" w:customStyle="1" w:styleId="chiffres2-nu">
    <w:name w:val="chiffres 2-énu"/>
    <w:basedOn w:val="Normal"/>
    <w:rsid w:val="007A32CE"/>
    <w:pPr>
      <w:widowControl w:val="0"/>
      <w:spacing w:line="240" w:lineRule="atLeast"/>
      <w:ind w:left="264" w:hanging="264"/>
      <w:jc w:val="left"/>
    </w:pPr>
    <w:rPr>
      <w:rFonts w:ascii="Calibri" w:hAnsi="Calibri" w:cs="Calibri"/>
      <w:sz w:val="20"/>
    </w:rPr>
  </w:style>
  <w:style w:type="paragraph" w:customStyle="1" w:styleId="chiffres2-nu0">
    <w:name w:val="chiffres 2-énu."/>
    <w:basedOn w:val="Normal"/>
    <w:rsid w:val="00F25164"/>
    <w:pPr>
      <w:widowControl w:val="0"/>
      <w:spacing w:after="120" w:line="240" w:lineRule="atLeast"/>
      <w:ind w:left="266" w:hanging="266"/>
      <w:jc w:val="left"/>
    </w:pPr>
    <w:rPr>
      <w:rFonts w:ascii="Calibri" w:hAnsi="Calibri" w:cs="Calibri"/>
      <w:sz w:val="22"/>
    </w:rPr>
  </w:style>
  <w:style w:type="paragraph" w:customStyle="1" w:styleId="e1">
    <w:name w:val="e1"/>
    <w:link w:val="e1Car1"/>
    <w:rsid w:val="00763264"/>
    <w:pPr>
      <w:widowControl w:val="0"/>
      <w:spacing w:line="320" w:lineRule="atLeast"/>
      <w:ind w:left="1276" w:hanging="283"/>
      <w:jc w:val="both"/>
    </w:pPr>
    <w:rPr>
      <w:rFonts w:ascii="Arial Narrow" w:hAnsi="Arial Narrow"/>
      <w:sz w:val="22"/>
      <w:szCs w:val="22"/>
      <w:lang w:val="en-CA"/>
    </w:rPr>
  </w:style>
  <w:style w:type="paragraph" w:customStyle="1" w:styleId="e10">
    <w:name w:val="e1."/>
    <w:next w:val="p"/>
    <w:link w:val="e1Car"/>
    <w:rsid w:val="00F25164"/>
    <w:pPr>
      <w:spacing w:after="200" w:line="320" w:lineRule="atLeast"/>
      <w:ind w:left="1276" w:hanging="283"/>
      <w:jc w:val="both"/>
    </w:pPr>
    <w:rPr>
      <w:rFonts w:ascii="Arial Narrow" w:hAnsi="Arial Narrow"/>
      <w:sz w:val="22"/>
    </w:rPr>
  </w:style>
  <w:style w:type="paragraph" w:customStyle="1" w:styleId="e2">
    <w:name w:val="e2"/>
    <w:basedOn w:val="e1"/>
    <w:rsid w:val="00F25164"/>
    <w:pPr>
      <w:spacing w:line="240" w:lineRule="atLeast"/>
      <w:ind w:left="1701"/>
    </w:pPr>
  </w:style>
  <w:style w:type="paragraph" w:customStyle="1" w:styleId="e20">
    <w:name w:val="e2."/>
    <w:basedOn w:val="e2"/>
    <w:next w:val="p"/>
    <w:rsid w:val="00F25164"/>
    <w:pPr>
      <w:spacing w:after="200"/>
      <w:ind w:left="1702" w:hanging="284"/>
    </w:pPr>
  </w:style>
  <w:style w:type="paragraph" w:customStyle="1" w:styleId="e3">
    <w:name w:val="e3"/>
    <w:basedOn w:val="e2"/>
    <w:rsid w:val="00F25164"/>
    <w:pPr>
      <w:ind w:left="1985"/>
    </w:pPr>
  </w:style>
  <w:style w:type="paragraph" w:customStyle="1" w:styleId="e30">
    <w:name w:val="e3."/>
    <w:basedOn w:val="e20"/>
    <w:rsid w:val="00F25164"/>
    <w:pPr>
      <w:ind w:left="1985"/>
    </w:pPr>
  </w:style>
  <w:style w:type="paragraph" w:styleId="Header">
    <w:name w:val="header"/>
    <w:basedOn w:val="Normal"/>
    <w:link w:val="HeaderChar"/>
    <w:uiPriority w:val="99"/>
    <w:rsid w:val="00F25164"/>
    <w:pPr>
      <w:pBdr>
        <w:bottom w:val="single" w:sz="2" w:space="0" w:color="auto"/>
      </w:pBdr>
      <w:tabs>
        <w:tab w:val="right" w:pos="8364"/>
      </w:tabs>
    </w:pPr>
    <w:rPr>
      <w:rFonts w:ascii="Arial Narrow" w:hAnsi="Arial Narrow"/>
      <w:sz w:val="20"/>
      <w:lang w:val="x-none"/>
    </w:rPr>
  </w:style>
  <w:style w:type="character" w:customStyle="1" w:styleId="HeaderChar">
    <w:name w:val="Header Char"/>
    <w:link w:val="Header"/>
    <w:uiPriority w:val="99"/>
    <w:rsid w:val="00EC3A7E"/>
    <w:rPr>
      <w:rFonts w:ascii="Arial Narrow" w:hAnsi="Arial Narrow" w:cs="Times New Roman"/>
      <w:sz w:val="20"/>
      <w:szCs w:val="20"/>
      <w:lang w:eastAsia="fr-CA"/>
    </w:rPr>
  </w:style>
  <w:style w:type="table" w:styleId="TableGrid">
    <w:name w:val="Table Grid"/>
    <w:basedOn w:val="TableNormal"/>
    <w:rsid w:val="00F2516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25164"/>
    <w:rPr>
      <w:color w:val="0000FF"/>
      <w:u w:val="single"/>
    </w:rPr>
  </w:style>
  <w:style w:type="character" w:styleId="FollowedHyperlink">
    <w:name w:val="FollowedHyperlink"/>
    <w:rsid w:val="00F25164"/>
    <w:rPr>
      <w:color w:val="800080"/>
      <w:u w:val="single"/>
    </w:rPr>
  </w:style>
  <w:style w:type="paragraph" w:styleId="NormalWeb">
    <w:name w:val="Normal (Web)"/>
    <w:basedOn w:val="Normal"/>
    <w:uiPriority w:val="99"/>
    <w:rsid w:val="00F25164"/>
    <w:pPr>
      <w:spacing w:before="100" w:beforeAutospacing="1" w:after="100" w:afterAutospacing="1"/>
      <w:jc w:val="left"/>
    </w:pPr>
    <w:rPr>
      <w:rFonts w:ascii="Times New Roman" w:hAnsi="Times New Roman"/>
      <w:color w:val="0D214D"/>
      <w:lang w:val="fr-FR" w:eastAsia="fr-FR"/>
    </w:rPr>
  </w:style>
  <w:style w:type="paragraph" w:styleId="FootnoteText">
    <w:name w:val="footnote text"/>
    <w:basedOn w:val="Normal"/>
    <w:link w:val="FootnoteTextChar"/>
    <w:rsid w:val="00F25164"/>
    <w:pPr>
      <w:ind w:left="284" w:hanging="284"/>
    </w:pPr>
    <w:rPr>
      <w:rFonts w:ascii="Arial Narrow" w:hAnsi="Arial Narrow"/>
      <w:sz w:val="20"/>
      <w:lang w:val="x-none"/>
    </w:rPr>
  </w:style>
  <w:style w:type="character" w:customStyle="1" w:styleId="FootnoteTextChar">
    <w:name w:val="Footnote Text Char"/>
    <w:link w:val="FootnoteText"/>
    <w:rsid w:val="00EC3A7E"/>
    <w:rPr>
      <w:rFonts w:ascii="Arial Narrow" w:hAnsi="Arial Narrow" w:cs="Times New Roman"/>
      <w:sz w:val="20"/>
      <w:szCs w:val="20"/>
      <w:lang w:eastAsia="fr-CA"/>
    </w:rPr>
  </w:style>
  <w:style w:type="paragraph" w:styleId="EndnoteText">
    <w:name w:val="endnote text"/>
    <w:basedOn w:val="FootnoteText"/>
    <w:link w:val="EndnoteTextChar"/>
    <w:rsid w:val="00F25164"/>
  </w:style>
  <w:style w:type="character" w:customStyle="1" w:styleId="EndnoteTextChar">
    <w:name w:val="Endnote Text Char"/>
    <w:link w:val="EndnoteText"/>
    <w:rsid w:val="00EC3A7E"/>
    <w:rPr>
      <w:rFonts w:ascii="Arial Narrow" w:hAnsi="Arial Narrow" w:cs="Times New Roman"/>
      <w:sz w:val="20"/>
      <w:szCs w:val="20"/>
      <w:lang w:eastAsia="fr-CA"/>
    </w:rPr>
  </w:style>
  <w:style w:type="character" w:styleId="PageNumber">
    <w:name w:val="page number"/>
    <w:rsid w:val="00F25164"/>
    <w:rPr>
      <w:rFonts w:ascii="Arial" w:hAnsi="Arial"/>
      <w:noProof w:val="0"/>
      <w:sz w:val="18"/>
      <w:lang w:val="fr-FR"/>
    </w:rPr>
  </w:style>
  <w:style w:type="paragraph" w:customStyle="1" w:styleId="p">
    <w:name w:val="p."/>
    <w:link w:val="pCar"/>
    <w:rsid w:val="00763264"/>
    <w:pPr>
      <w:widowControl w:val="0"/>
      <w:spacing w:after="200" w:line="320" w:lineRule="atLeast"/>
      <w:ind w:left="993"/>
      <w:jc w:val="both"/>
    </w:pPr>
    <w:rPr>
      <w:rFonts w:ascii="Arial Narrow" w:hAnsi="Arial Narrow"/>
      <w:sz w:val="22"/>
      <w:szCs w:val="22"/>
      <w:lang w:val="en-CA"/>
    </w:rPr>
  </w:style>
  <w:style w:type="paragraph" w:customStyle="1" w:styleId="p0">
    <w:name w:val="p:"/>
    <w:basedOn w:val="Normal"/>
    <w:next w:val="e1"/>
    <w:link w:val="pCar0"/>
    <w:qFormat/>
    <w:rsid w:val="00A04FCB"/>
    <w:pPr>
      <w:widowControl w:val="0"/>
      <w:spacing w:line="320" w:lineRule="atLeast"/>
      <w:ind w:left="993"/>
    </w:pPr>
    <w:rPr>
      <w:rFonts w:ascii="Arial Narrow" w:hAnsi="Arial Narrow"/>
      <w:sz w:val="22"/>
      <w:lang w:val="en-CA" w:eastAsia="en-US"/>
    </w:rPr>
  </w:style>
  <w:style w:type="paragraph" w:styleId="Footer">
    <w:name w:val="footer"/>
    <w:basedOn w:val="Normal"/>
    <w:link w:val="FooterChar"/>
    <w:rsid w:val="00F25164"/>
    <w:pPr>
      <w:pBdr>
        <w:top w:val="single" w:sz="4" w:space="1" w:color="auto"/>
      </w:pBdr>
      <w:tabs>
        <w:tab w:val="left" w:pos="4253"/>
      </w:tabs>
      <w:spacing w:line="220" w:lineRule="atLeast"/>
    </w:pPr>
    <w:rPr>
      <w:rFonts w:ascii="Arial Narrow" w:hAnsi="Arial Narrow"/>
      <w:b/>
      <w:sz w:val="18"/>
      <w:lang w:val="x-none"/>
    </w:rPr>
  </w:style>
  <w:style w:type="character" w:customStyle="1" w:styleId="FooterChar">
    <w:name w:val="Footer Char"/>
    <w:link w:val="Footer"/>
    <w:rsid w:val="00EC3A7E"/>
    <w:rPr>
      <w:rFonts w:ascii="Arial Narrow" w:hAnsi="Arial Narrow" w:cs="Times New Roman"/>
      <w:b/>
      <w:sz w:val="18"/>
      <w:szCs w:val="20"/>
      <w:lang w:eastAsia="fr-CA"/>
    </w:rPr>
  </w:style>
  <w:style w:type="paragraph" w:customStyle="1" w:styleId="source">
    <w:name w:val="source"/>
    <w:basedOn w:val="Normal"/>
    <w:next w:val="p"/>
    <w:autoRedefine/>
    <w:rsid w:val="00175218"/>
    <w:pPr>
      <w:spacing w:before="120" w:after="160" w:line="280" w:lineRule="atLeast"/>
      <w:ind w:left="992"/>
    </w:pPr>
    <w:rPr>
      <w:rFonts w:ascii="Arial Narrow" w:hAnsi="Arial Narrow"/>
      <w:sz w:val="20"/>
      <w:lang w:val="en-CA"/>
    </w:rPr>
  </w:style>
  <w:style w:type="paragraph" w:customStyle="1" w:styleId="Premieren-tte">
    <w:name w:val="Premier en-tête"/>
    <w:basedOn w:val="Header"/>
    <w:rsid w:val="00F25164"/>
    <w:pPr>
      <w:pBdr>
        <w:bottom w:val="none" w:sz="0" w:space="0" w:color="auto"/>
      </w:pBdr>
    </w:pPr>
  </w:style>
  <w:style w:type="paragraph" w:customStyle="1" w:styleId="Premierpieddepage">
    <w:name w:val="Premier pied de page"/>
    <w:basedOn w:val="Footer"/>
    <w:rsid w:val="00F25164"/>
    <w:pPr>
      <w:pBdr>
        <w:top w:val="none" w:sz="0" w:space="0" w:color="auto"/>
      </w:pBdr>
    </w:pPr>
  </w:style>
  <w:style w:type="paragraph" w:customStyle="1" w:styleId="q1">
    <w:name w:val="q1"/>
    <w:rsid w:val="00586B88"/>
    <w:pPr>
      <w:tabs>
        <w:tab w:val="left" w:pos="993"/>
      </w:tabs>
      <w:spacing w:before="240" w:after="200" w:line="280" w:lineRule="atLeast"/>
      <w:ind w:left="993" w:hanging="284"/>
      <w:jc w:val="both"/>
    </w:pPr>
    <w:rPr>
      <w:rFonts w:ascii="Arial Narrow" w:hAnsi="Arial Narrow"/>
      <w:sz w:val="22"/>
    </w:rPr>
  </w:style>
  <w:style w:type="paragraph" w:customStyle="1" w:styleId="q10">
    <w:name w:val="q1:"/>
    <w:rsid w:val="00F25164"/>
    <w:pPr>
      <w:tabs>
        <w:tab w:val="left" w:pos="993"/>
      </w:tabs>
      <w:spacing w:after="80" w:line="240" w:lineRule="atLeast"/>
      <w:ind w:left="993" w:hanging="284"/>
      <w:jc w:val="both"/>
    </w:pPr>
    <w:rPr>
      <w:rFonts w:ascii="Arial Narrow" w:hAnsi="Arial Narrow"/>
      <w:sz w:val="22"/>
    </w:rPr>
  </w:style>
  <w:style w:type="paragraph" w:customStyle="1" w:styleId="q1a">
    <w:name w:val="q1a"/>
    <w:basedOn w:val="q10"/>
    <w:rsid w:val="00F25164"/>
    <w:pPr>
      <w:tabs>
        <w:tab w:val="clear" w:pos="993"/>
        <w:tab w:val="left" w:pos="1134"/>
      </w:tabs>
      <w:spacing w:before="120" w:after="120"/>
      <w:ind w:left="1418" w:hanging="709"/>
    </w:pPr>
  </w:style>
  <w:style w:type="paragraph" w:customStyle="1" w:styleId="q2">
    <w:name w:val="q2"/>
    <w:rsid w:val="00F25164"/>
    <w:pPr>
      <w:spacing w:line="240" w:lineRule="atLeast"/>
      <w:ind w:left="1520" w:hanging="320"/>
      <w:jc w:val="both"/>
    </w:pPr>
    <w:rPr>
      <w:rFonts w:ascii="Arial Narrow" w:hAnsi="Arial Narrow"/>
      <w:sz w:val="22"/>
    </w:rPr>
  </w:style>
  <w:style w:type="paragraph" w:customStyle="1" w:styleId="q20">
    <w:name w:val="q2."/>
    <w:rsid w:val="00F25164"/>
    <w:pPr>
      <w:spacing w:after="200" w:line="240" w:lineRule="atLeast"/>
      <w:ind w:left="1559" w:hanging="357"/>
      <w:jc w:val="both"/>
    </w:pPr>
    <w:rPr>
      <w:rFonts w:ascii="Arial Narrow" w:hAnsi="Arial Narrow"/>
      <w:sz w:val="22"/>
    </w:rPr>
  </w:style>
  <w:style w:type="paragraph" w:customStyle="1" w:styleId="q21">
    <w:name w:val="q2:"/>
    <w:rsid w:val="00F25164"/>
    <w:pPr>
      <w:spacing w:after="80" w:line="240" w:lineRule="atLeast"/>
      <w:ind w:left="1559" w:hanging="357"/>
      <w:jc w:val="both"/>
    </w:pPr>
    <w:rPr>
      <w:rFonts w:ascii="Arial Narrow" w:hAnsi="Arial Narrow"/>
      <w:sz w:val="22"/>
    </w:rPr>
  </w:style>
  <w:style w:type="paragraph" w:customStyle="1" w:styleId="Signature1">
    <w:name w:val="Signature1"/>
    <w:basedOn w:val="source"/>
    <w:rsid w:val="00F25164"/>
    <w:rPr>
      <w:sz w:val="22"/>
    </w:rPr>
  </w:style>
  <w:style w:type="paragraph" w:customStyle="1" w:styleId="tab">
    <w:name w:val="tab"/>
    <w:basedOn w:val="Normal"/>
    <w:rsid w:val="00F25164"/>
    <w:pPr>
      <w:widowControl w:val="0"/>
      <w:tabs>
        <w:tab w:val="right" w:leader="dot" w:pos="7620"/>
        <w:tab w:val="right" w:leader="dot" w:pos="8789"/>
      </w:tabs>
      <w:ind w:left="992" w:right="23"/>
      <w:jc w:val="left"/>
    </w:pPr>
    <w:rPr>
      <w:rFonts w:ascii="Arial Narrow" w:hAnsi="Arial Narrow"/>
      <w:sz w:val="22"/>
    </w:rPr>
  </w:style>
  <w:style w:type="paragraph" w:customStyle="1" w:styleId="tabe1">
    <w:name w:val="tab e1"/>
    <w:basedOn w:val="e1"/>
    <w:rsid w:val="00F25164"/>
    <w:pPr>
      <w:tabs>
        <w:tab w:val="right" w:leader="dot" w:pos="8364"/>
      </w:tabs>
      <w:ind w:left="993" w:right="466" w:firstLine="0"/>
    </w:pPr>
    <w:rPr>
      <w:noProof/>
    </w:rPr>
  </w:style>
  <w:style w:type="paragraph" w:customStyle="1" w:styleId="tabe2">
    <w:name w:val="tab e2"/>
    <w:basedOn w:val="e2"/>
    <w:rsid w:val="00F25164"/>
    <w:pPr>
      <w:tabs>
        <w:tab w:val="right" w:pos="8364"/>
      </w:tabs>
      <w:ind w:left="1780" w:right="466"/>
    </w:pPr>
  </w:style>
  <w:style w:type="paragraph" w:customStyle="1" w:styleId="tab2">
    <w:name w:val="tab2"/>
    <w:basedOn w:val="tab"/>
    <w:rsid w:val="00F25164"/>
    <w:pPr>
      <w:tabs>
        <w:tab w:val="clear" w:pos="7620"/>
        <w:tab w:val="right" w:pos="7655"/>
        <w:tab w:val="right" w:pos="8860"/>
      </w:tabs>
    </w:pPr>
    <w:rPr>
      <w:b/>
    </w:rPr>
  </w:style>
  <w:style w:type="paragraph" w:customStyle="1" w:styleId="tabt2">
    <w:name w:val="tabt2"/>
    <w:basedOn w:val="Normal"/>
    <w:rsid w:val="00F25164"/>
    <w:pPr>
      <w:tabs>
        <w:tab w:val="right" w:pos="8364"/>
      </w:tabs>
      <w:spacing w:before="240" w:after="80" w:line="280" w:lineRule="atLeast"/>
      <w:ind w:left="993" w:right="466"/>
      <w:jc w:val="left"/>
    </w:pPr>
    <w:rPr>
      <w:b/>
    </w:rPr>
  </w:style>
  <w:style w:type="paragraph" w:styleId="BalloonText">
    <w:name w:val="Balloon Text"/>
    <w:basedOn w:val="Normal"/>
    <w:link w:val="BalloonTextChar"/>
    <w:rsid w:val="00F25164"/>
    <w:rPr>
      <w:rFonts w:ascii="Tahoma" w:hAnsi="Tahoma"/>
      <w:sz w:val="16"/>
      <w:szCs w:val="16"/>
      <w:lang w:val="x-none"/>
    </w:rPr>
  </w:style>
  <w:style w:type="character" w:customStyle="1" w:styleId="BalloonTextChar">
    <w:name w:val="Balloon Text Char"/>
    <w:link w:val="BalloonText"/>
    <w:rsid w:val="00EC3A7E"/>
    <w:rPr>
      <w:rFonts w:ascii="Tahoma" w:hAnsi="Tahoma" w:cs="Tahoma"/>
      <w:sz w:val="16"/>
      <w:szCs w:val="16"/>
      <w:lang w:eastAsia="fr-CA"/>
    </w:rPr>
  </w:style>
  <w:style w:type="character" w:customStyle="1" w:styleId="Heading1Char">
    <w:name w:val="Heading 1 Char"/>
    <w:link w:val="Heading1"/>
    <w:rsid w:val="00EC3A7E"/>
    <w:rPr>
      <w:rFonts w:ascii="Arial" w:hAnsi="Arial" w:cs="Times New Roman"/>
      <w:caps/>
      <w:spacing w:val="-4"/>
      <w:kern w:val="28"/>
      <w:sz w:val="28"/>
      <w:szCs w:val="20"/>
      <w:lang w:eastAsia="fr-CA"/>
    </w:rPr>
  </w:style>
  <w:style w:type="character" w:customStyle="1" w:styleId="Heading2Char">
    <w:name w:val="Heading 2 Char"/>
    <w:link w:val="Heading2"/>
    <w:rsid w:val="00EC3A7E"/>
    <w:rPr>
      <w:rFonts w:ascii="Arial" w:hAnsi="Arial" w:cs="Times New Roman"/>
      <w:b/>
      <w:spacing w:val="-4"/>
      <w:sz w:val="24"/>
      <w:szCs w:val="20"/>
      <w:lang w:eastAsia="fr-CA"/>
    </w:rPr>
  </w:style>
  <w:style w:type="character" w:customStyle="1" w:styleId="Heading3Char">
    <w:name w:val="Heading 3 Char"/>
    <w:link w:val="Heading3"/>
    <w:rsid w:val="00EC3A7E"/>
    <w:rPr>
      <w:rFonts w:ascii="Arial Narrow" w:hAnsi="Arial Narrow" w:cs="Times New Roman"/>
      <w:i/>
      <w:spacing w:val="-2"/>
      <w:sz w:val="24"/>
      <w:szCs w:val="24"/>
      <w:lang w:eastAsia="fr-FR"/>
    </w:rPr>
  </w:style>
  <w:style w:type="character" w:customStyle="1" w:styleId="Heading4Char">
    <w:name w:val="Heading 4 Char"/>
    <w:link w:val="Heading4"/>
    <w:rsid w:val="00EC3A7E"/>
    <w:rPr>
      <w:rFonts w:ascii="Arial Black" w:hAnsi="Arial Black" w:cs="Times New Roman"/>
      <w:spacing w:val="-4"/>
      <w:sz w:val="20"/>
      <w:szCs w:val="20"/>
      <w:lang w:eastAsia="fr-CA"/>
    </w:rPr>
  </w:style>
  <w:style w:type="character" w:customStyle="1" w:styleId="Heading5Char">
    <w:name w:val="Heading 5 Char"/>
    <w:link w:val="Heading5"/>
    <w:rsid w:val="00EC3A7E"/>
    <w:rPr>
      <w:rFonts w:ascii="Calibri" w:hAnsi="Calibri" w:cs="Calibri"/>
      <w:b/>
      <w:lang w:eastAsia="fr-CA"/>
    </w:rPr>
  </w:style>
  <w:style w:type="character" w:customStyle="1" w:styleId="Heading6Char">
    <w:name w:val="Heading 6 Char"/>
    <w:link w:val="Heading6"/>
    <w:rsid w:val="00EC3A7E"/>
    <w:rPr>
      <w:rFonts w:ascii="Arial" w:hAnsi="Arial" w:cs="Times New Roman"/>
      <w:i/>
      <w:szCs w:val="20"/>
      <w:lang w:eastAsia="fr-CA"/>
    </w:rPr>
  </w:style>
  <w:style w:type="character" w:customStyle="1" w:styleId="Heading7Char">
    <w:name w:val="Heading 7 Char"/>
    <w:link w:val="Heading7"/>
    <w:rsid w:val="00EC3A7E"/>
    <w:rPr>
      <w:rFonts w:ascii="Arial" w:hAnsi="Arial" w:cs="Times New Roman"/>
      <w:sz w:val="24"/>
      <w:szCs w:val="20"/>
      <w:lang w:eastAsia="fr-CA"/>
    </w:rPr>
  </w:style>
  <w:style w:type="character" w:customStyle="1" w:styleId="Heading8Char">
    <w:name w:val="Heading 8 Char"/>
    <w:link w:val="Heading8"/>
    <w:rsid w:val="00EC3A7E"/>
    <w:rPr>
      <w:rFonts w:ascii="Arial" w:hAnsi="Arial" w:cs="Times New Roman"/>
      <w:i/>
      <w:sz w:val="24"/>
      <w:szCs w:val="20"/>
      <w:lang w:eastAsia="fr-CA"/>
    </w:rPr>
  </w:style>
  <w:style w:type="character" w:customStyle="1" w:styleId="Heading9Char">
    <w:name w:val="Heading 9 Char"/>
    <w:link w:val="Heading9"/>
    <w:rsid w:val="00EC3A7E"/>
    <w:rPr>
      <w:rFonts w:ascii="Arial" w:hAnsi="Arial" w:cs="Times New Roman"/>
      <w:b/>
      <w:i/>
      <w:sz w:val="18"/>
      <w:szCs w:val="20"/>
      <w:lang w:eastAsia="fr-CA"/>
    </w:rPr>
  </w:style>
  <w:style w:type="paragraph" w:styleId="TOC1">
    <w:name w:val="toc 1"/>
    <w:basedOn w:val="Normal"/>
    <w:next w:val="Normal"/>
    <w:autoRedefine/>
    <w:uiPriority w:val="39"/>
    <w:rsid w:val="00F25164"/>
    <w:pPr>
      <w:spacing w:before="120" w:after="120"/>
      <w:jc w:val="left"/>
    </w:pPr>
    <w:rPr>
      <w:rFonts w:ascii="Arial Narrow" w:hAnsi="Arial Narrow"/>
      <w:b/>
      <w:caps/>
    </w:rPr>
  </w:style>
  <w:style w:type="paragraph" w:styleId="TOC2">
    <w:name w:val="toc 2"/>
    <w:basedOn w:val="Normal"/>
    <w:next w:val="Normal"/>
    <w:autoRedefine/>
    <w:uiPriority w:val="39"/>
    <w:rsid w:val="00F25164"/>
    <w:pPr>
      <w:ind w:left="240"/>
      <w:jc w:val="left"/>
    </w:pPr>
    <w:rPr>
      <w:rFonts w:ascii="Arial Narrow" w:hAnsi="Arial Narrow"/>
      <w:sz w:val="22"/>
    </w:rPr>
  </w:style>
  <w:style w:type="paragraph" w:styleId="TOC3">
    <w:name w:val="toc 3"/>
    <w:basedOn w:val="Normal"/>
    <w:next w:val="Normal"/>
    <w:autoRedefine/>
    <w:uiPriority w:val="39"/>
    <w:rsid w:val="00F25164"/>
    <w:pPr>
      <w:ind w:left="480"/>
      <w:jc w:val="left"/>
    </w:pPr>
    <w:rPr>
      <w:rFonts w:ascii="Arial Narrow" w:hAnsi="Arial Narrow"/>
      <w:i/>
      <w:sz w:val="20"/>
    </w:rPr>
  </w:style>
  <w:style w:type="paragraph" w:styleId="TOC4">
    <w:name w:val="toc 4"/>
    <w:basedOn w:val="Normal"/>
    <w:next w:val="Normal"/>
    <w:autoRedefine/>
    <w:semiHidden/>
    <w:rsid w:val="00F25164"/>
    <w:pPr>
      <w:tabs>
        <w:tab w:val="right" w:leader="dot" w:pos="8364"/>
      </w:tabs>
      <w:ind w:left="720"/>
      <w:jc w:val="left"/>
    </w:pPr>
    <w:rPr>
      <w:rFonts w:ascii="Times New Roman" w:hAnsi="Times New Roman"/>
      <w:sz w:val="18"/>
    </w:rPr>
  </w:style>
  <w:style w:type="paragraph" w:styleId="TOC5">
    <w:name w:val="toc 5"/>
    <w:basedOn w:val="Normal"/>
    <w:next w:val="Normal"/>
    <w:autoRedefine/>
    <w:semiHidden/>
    <w:rsid w:val="00F25164"/>
    <w:pPr>
      <w:ind w:left="960"/>
    </w:pPr>
  </w:style>
  <w:style w:type="paragraph" w:styleId="TOC6">
    <w:name w:val="toc 6"/>
    <w:basedOn w:val="Normal"/>
    <w:next w:val="Normal"/>
    <w:autoRedefine/>
    <w:semiHidden/>
    <w:rsid w:val="00F25164"/>
    <w:pPr>
      <w:ind w:left="1200"/>
    </w:pPr>
  </w:style>
  <w:style w:type="paragraph" w:styleId="TOC7">
    <w:name w:val="toc 7"/>
    <w:basedOn w:val="Normal"/>
    <w:next w:val="Normal"/>
    <w:autoRedefine/>
    <w:semiHidden/>
    <w:rsid w:val="00F25164"/>
    <w:pPr>
      <w:ind w:left="1440"/>
    </w:pPr>
  </w:style>
  <w:style w:type="paragraph" w:styleId="TOC8">
    <w:name w:val="toc 8"/>
    <w:basedOn w:val="Normal"/>
    <w:next w:val="Normal"/>
    <w:autoRedefine/>
    <w:semiHidden/>
    <w:rsid w:val="00F25164"/>
    <w:pPr>
      <w:ind w:left="1680"/>
    </w:pPr>
  </w:style>
  <w:style w:type="paragraph" w:styleId="TOC9">
    <w:name w:val="toc 9"/>
    <w:basedOn w:val="Normal"/>
    <w:next w:val="Normal"/>
    <w:autoRedefine/>
    <w:semiHidden/>
    <w:rsid w:val="00F25164"/>
    <w:pPr>
      <w:ind w:left="1920"/>
    </w:pPr>
  </w:style>
  <w:style w:type="paragraph" w:styleId="CommentSubject">
    <w:name w:val="annotation subject"/>
    <w:basedOn w:val="Normal"/>
    <w:next w:val="TOC2"/>
    <w:link w:val="CommentSubjectChar"/>
    <w:rsid w:val="00F25164"/>
    <w:rPr>
      <w:b/>
      <w:bCs/>
      <w:sz w:val="20"/>
      <w:lang w:val="x-none"/>
    </w:rPr>
  </w:style>
  <w:style w:type="character" w:customStyle="1" w:styleId="CommentSubjectChar">
    <w:name w:val="Comment Subject Char"/>
    <w:link w:val="CommentSubject"/>
    <w:rsid w:val="00295A46"/>
    <w:rPr>
      <w:rFonts w:ascii="Arial" w:hAnsi="Arial" w:cs="Times New Roman"/>
      <w:b/>
      <w:bCs/>
      <w:sz w:val="20"/>
      <w:szCs w:val="20"/>
      <w:lang w:eastAsia="fr-CA"/>
    </w:rPr>
  </w:style>
  <w:style w:type="paragraph" w:customStyle="1" w:styleId="chiffres">
    <w:name w:val="chiffres"/>
    <w:basedOn w:val="Normal"/>
    <w:rsid w:val="00F25164"/>
    <w:pPr>
      <w:spacing w:after="80"/>
      <w:jc w:val="center"/>
    </w:pPr>
    <w:rPr>
      <w:rFonts w:ascii="Calibri" w:hAnsi="Calibri" w:cs="Calibri"/>
      <w:b/>
      <w:bCs/>
      <w:sz w:val="22"/>
      <w:szCs w:val="22"/>
    </w:rPr>
  </w:style>
  <w:style w:type="paragraph" w:styleId="CommentText">
    <w:name w:val="annotation text"/>
    <w:basedOn w:val="Normal"/>
    <w:link w:val="CommentTextChar"/>
    <w:uiPriority w:val="99"/>
    <w:semiHidden/>
    <w:unhideWhenUsed/>
    <w:rsid w:val="00F25164"/>
    <w:rPr>
      <w:sz w:val="20"/>
      <w:lang w:val="x-none"/>
    </w:rPr>
  </w:style>
  <w:style w:type="character" w:customStyle="1" w:styleId="CommentTextChar">
    <w:name w:val="Comment Text Char"/>
    <w:link w:val="CommentText"/>
    <w:uiPriority w:val="99"/>
    <w:semiHidden/>
    <w:rsid w:val="00F25164"/>
    <w:rPr>
      <w:rFonts w:ascii="Arial" w:hAnsi="Arial" w:cs="Times New Roman"/>
      <w:sz w:val="20"/>
      <w:szCs w:val="20"/>
      <w:lang w:eastAsia="fr-CA"/>
    </w:rPr>
  </w:style>
  <w:style w:type="character" w:styleId="Strong">
    <w:name w:val="Strong"/>
    <w:uiPriority w:val="22"/>
    <w:qFormat/>
    <w:rsid w:val="00F25164"/>
    <w:rPr>
      <w:b/>
      <w:bCs/>
    </w:rPr>
  </w:style>
  <w:style w:type="character" w:customStyle="1" w:styleId="nouveaute">
    <w:name w:val="nouveaute"/>
    <w:basedOn w:val="DefaultParagraphFont"/>
    <w:rsid w:val="00F25164"/>
  </w:style>
  <w:style w:type="character" w:customStyle="1" w:styleId="pCar">
    <w:name w:val="p. Car"/>
    <w:link w:val="p"/>
    <w:rsid w:val="00763264"/>
    <w:rPr>
      <w:rFonts w:ascii="Arial Narrow" w:hAnsi="Arial Narrow"/>
      <w:sz w:val="22"/>
      <w:szCs w:val="22"/>
      <w:lang w:val="en-CA" w:bidi="ar-SA"/>
    </w:rPr>
  </w:style>
  <w:style w:type="character" w:customStyle="1" w:styleId="e1Car1">
    <w:name w:val="e1 Car1"/>
    <w:link w:val="e1"/>
    <w:rsid w:val="00763264"/>
    <w:rPr>
      <w:rFonts w:ascii="Arial Narrow" w:hAnsi="Arial Narrow"/>
      <w:sz w:val="22"/>
      <w:szCs w:val="22"/>
      <w:lang w:val="en-CA" w:bidi="ar-SA"/>
    </w:rPr>
  </w:style>
  <w:style w:type="paragraph" w:customStyle="1" w:styleId="Default">
    <w:name w:val="Default"/>
    <w:rsid w:val="00ED0E89"/>
    <w:pPr>
      <w:autoSpaceDE w:val="0"/>
      <w:autoSpaceDN w:val="0"/>
      <w:adjustRightInd w:val="0"/>
    </w:pPr>
    <w:rPr>
      <w:rFonts w:ascii="Garamond" w:hAnsi="Garamond" w:cs="Garamond"/>
      <w:color w:val="000000"/>
      <w:sz w:val="24"/>
      <w:szCs w:val="24"/>
      <w:lang w:eastAsia="en-US"/>
    </w:rPr>
  </w:style>
  <w:style w:type="character" w:styleId="CommentReference">
    <w:name w:val="annotation reference"/>
    <w:uiPriority w:val="99"/>
    <w:semiHidden/>
    <w:unhideWhenUsed/>
    <w:rsid w:val="00ED0E89"/>
    <w:rPr>
      <w:sz w:val="16"/>
      <w:szCs w:val="16"/>
    </w:rPr>
  </w:style>
  <w:style w:type="paragraph" w:styleId="Revision">
    <w:name w:val="Revision"/>
    <w:hidden/>
    <w:uiPriority w:val="99"/>
    <w:semiHidden/>
    <w:rsid w:val="00ED0E89"/>
    <w:rPr>
      <w:rFonts w:ascii="Arial" w:hAnsi="Arial"/>
      <w:sz w:val="24"/>
    </w:rPr>
  </w:style>
  <w:style w:type="paragraph" w:customStyle="1" w:styleId="Signature2">
    <w:name w:val="Signature2"/>
    <w:basedOn w:val="Normal"/>
    <w:rsid w:val="00ED0E89"/>
    <w:pPr>
      <w:spacing w:before="120" w:after="160" w:line="280" w:lineRule="atLeast"/>
      <w:ind w:left="992"/>
    </w:pPr>
    <w:rPr>
      <w:rFonts w:ascii="Arial Narrow" w:hAnsi="Arial Narrow"/>
      <w:i/>
      <w:sz w:val="22"/>
    </w:rPr>
  </w:style>
  <w:style w:type="character" w:styleId="Emphasis">
    <w:name w:val="Emphasis"/>
    <w:uiPriority w:val="20"/>
    <w:qFormat/>
    <w:rsid w:val="00F92F82"/>
    <w:rPr>
      <w:i/>
      <w:iCs/>
    </w:rPr>
  </w:style>
  <w:style w:type="paragraph" w:customStyle="1" w:styleId="figure">
    <w:name w:val="figure"/>
    <w:basedOn w:val="Normal"/>
    <w:qFormat/>
    <w:rsid w:val="00ED0E89"/>
    <w:pPr>
      <w:ind w:left="-1560" w:right="-1096"/>
      <w:jc w:val="center"/>
    </w:pPr>
  </w:style>
  <w:style w:type="paragraph" w:styleId="ListParagraph">
    <w:name w:val="List Paragraph"/>
    <w:basedOn w:val="Normal"/>
    <w:uiPriority w:val="34"/>
    <w:qFormat/>
    <w:rsid w:val="00981EC0"/>
    <w:pPr>
      <w:spacing w:after="200" w:line="276" w:lineRule="auto"/>
      <w:ind w:left="720"/>
      <w:contextualSpacing/>
      <w:jc w:val="left"/>
    </w:pPr>
    <w:rPr>
      <w:rFonts w:ascii="Calibri" w:eastAsia="Calibri" w:hAnsi="Calibri"/>
      <w:sz w:val="22"/>
      <w:szCs w:val="22"/>
      <w:lang w:val="en-US" w:eastAsia="en-US"/>
    </w:rPr>
  </w:style>
  <w:style w:type="paragraph" w:customStyle="1" w:styleId="regtitleold-e">
    <w:name w:val="regtitleold-e"/>
    <w:basedOn w:val="Normal"/>
    <w:rsid w:val="005321B0"/>
    <w:pPr>
      <w:keepNext/>
      <w:tabs>
        <w:tab w:val="left" w:pos="0"/>
        <w:tab w:val="right" w:pos="14400"/>
      </w:tabs>
      <w:suppressAutoHyphens/>
      <w:snapToGrid w:val="0"/>
      <w:spacing w:after="139" w:line="224" w:lineRule="exact"/>
      <w:jc w:val="center"/>
    </w:pPr>
    <w:rPr>
      <w:rFonts w:ascii="Times New (W1)" w:hAnsi="Times New (W1)"/>
      <w:caps/>
      <w:sz w:val="20"/>
      <w:lang w:val="en-GB" w:eastAsia="en-US"/>
    </w:rPr>
  </w:style>
  <w:style w:type="paragraph" w:customStyle="1" w:styleId="regaction-e">
    <w:name w:val="regaction-e"/>
    <w:basedOn w:val="Normal"/>
    <w:rsid w:val="005321B0"/>
    <w:pPr>
      <w:keepNext/>
      <w:suppressAutoHyphens/>
      <w:jc w:val="center"/>
    </w:pPr>
    <w:rPr>
      <w:rFonts w:ascii="Times New Roman" w:hAnsi="Times New Roman"/>
      <w:sz w:val="20"/>
      <w:lang w:val="en-GB" w:eastAsia="en-US"/>
    </w:rPr>
  </w:style>
  <w:style w:type="character" w:customStyle="1" w:styleId="apple-converted-space">
    <w:name w:val="apple-converted-space"/>
    <w:basedOn w:val="DefaultParagraphFont"/>
    <w:rsid w:val="007376F7"/>
  </w:style>
  <w:style w:type="character" w:customStyle="1" w:styleId="pCar0">
    <w:name w:val="p: Car"/>
    <w:link w:val="p0"/>
    <w:rsid w:val="00A04FCB"/>
    <w:rPr>
      <w:rFonts w:ascii="Arial Narrow" w:hAnsi="Arial Narrow"/>
      <w:sz w:val="22"/>
      <w:lang w:val="en-CA" w:eastAsia="en-US"/>
    </w:rPr>
  </w:style>
  <w:style w:type="character" w:customStyle="1" w:styleId="e1Car">
    <w:name w:val="e1. Car"/>
    <w:link w:val="e10"/>
    <w:rsid w:val="00A04FCB"/>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518">
      <w:bodyDiv w:val="1"/>
      <w:marLeft w:val="0"/>
      <w:marRight w:val="0"/>
      <w:marTop w:val="0"/>
      <w:marBottom w:val="0"/>
      <w:divBdr>
        <w:top w:val="none" w:sz="0" w:space="0" w:color="auto"/>
        <w:left w:val="none" w:sz="0" w:space="0" w:color="auto"/>
        <w:bottom w:val="none" w:sz="0" w:space="0" w:color="auto"/>
        <w:right w:val="none" w:sz="0" w:space="0" w:color="auto"/>
      </w:divBdr>
    </w:div>
    <w:div w:id="512379549">
      <w:bodyDiv w:val="1"/>
      <w:marLeft w:val="0"/>
      <w:marRight w:val="0"/>
      <w:marTop w:val="0"/>
      <w:marBottom w:val="0"/>
      <w:divBdr>
        <w:top w:val="none" w:sz="0" w:space="0" w:color="auto"/>
        <w:left w:val="none" w:sz="0" w:space="0" w:color="auto"/>
        <w:bottom w:val="none" w:sz="0" w:space="0" w:color="auto"/>
        <w:right w:val="none" w:sz="0" w:space="0" w:color="auto"/>
      </w:divBdr>
    </w:div>
    <w:div w:id="571621486">
      <w:bodyDiv w:val="1"/>
      <w:marLeft w:val="0"/>
      <w:marRight w:val="0"/>
      <w:marTop w:val="0"/>
      <w:marBottom w:val="0"/>
      <w:divBdr>
        <w:top w:val="none" w:sz="0" w:space="0" w:color="auto"/>
        <w:left w:val="none" w:sz="0" w:space="0" w:color="auto"/>
        <w:bottom w:val="none" w:sz="0" w:space="0" w:color="auto"/>
        <w:right w:val="none" w:sz="0" w:space="0" w:color="auto"/>
      </w:divBdr>
    </w:div>
    <w:div w:id="856236004">
      <w:bodyDiv w:val="1"/>
      <w:marLeft w:val="0"/>
      <w:marRight w:val="0"/>
      <w:marTop w:val="0"/>
      <w:marBottom w:val="0"/>
      <w:divBdr>
        <w:top w:val="none" w:sz="0" w:space="0" w:color="auto"/>
        <w:left w:val="none" w:sz="0" w:space="0" w:color="auto"/>
        <w:bottom w:val="none" w:sz="0" w:space="0" w:color="auto"/>
        <w:right w:val="none" w:sz="0" w:space="0" w:color="auto"/>
      </w:divBdr>
    </w:div>
    <w:div w:id="934436277">
      <w:bodyDiv w:val="1"/>
      <w:marLeft w:val="0"/>
      <w:marRight w:val="0"/>
      <w:marTop w:val="0"/>
      <w:marBottom w:val="0"/>
      <w:divBdr>
        <w:top w:val="none" w:sz="0" w:space="0" w:color="auto"/>
        <w:left w:val="none" w:sz="0" w:space="0" w:color="auto"/>
        <w:bottom w:val="none" w:sz="0" w:space="0" w:color="auto"/>
        <w:right w:val="none" w:sz="0" w:space="0" w:color="auto"/>
      </w:divBdr>
    </w:div>
    <w:div w:id="1110858693">
      <w:bodyDiv w:val="1"/>
      <w:marLeft w:val="0"/>
      <w:marRight w:val="0"/>
      <w:marTop w:val="0"/>
      <w:marBottom w:val="0"/>
      <w:divBdr>
        <w:top w:val="none" w:sz="0" w:space="0" w:color="auto"/>
        <w:left w:val="none" w:sz="0" w:space="0" w:color="auto"/>
        <w:bottom w:val="none" w:sz="0" w:space="0" w:color="auto"/>
        <w:right w:val="none" w:sz="0" w:space="0" w:color="auto"/>
      </w:divBdr>
    </w:div>
    <w:div w:id="19725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yperlink" Target="http://www.gamasutra.com/view/feature/3656/quality_of_life_does_anyone_still_.php" TargetMode="External"/><Relationship Id="rId39" Type="http://schemas.openxmlformats.org/officeDocument/2006/relationships/hyperlink" Target="http://www.gamesindustry.biz/articles/2015-04-22-gaming-will-hit-usd91-5-billion-this-year-newzoo" TargetMode="External"/><Relationship Id="rId3" Type="http://schemas.microsoft.com/office/2007/relationships/stylesWithEffects" Target="stylesWithEffects.xml"/><Relationship Id="rId21" Type="http://schemas.openxmlformats.org/officeDocument/2006/relationships/hyperlink" Target="http://onlinelibrary.wiley.com/doi/10.1002/cjas.147/pdf" TargetMode="External"/><Relationship Id="rId34" Type="http://schemas.openxmlformats.org/officeDocument/2006/relationships/hyperlink" Target="http://www.cjc-online.ca/index.php/journal" TargetMode="External"/><Relationship Id="rId42" Type="http://schemas.openxmlformats.org/officeDocument/2006/relationships/hyperlink" Target="http://www.dol.gov/whd/overtime_pay.htm"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elr.carolon.net/BI/v27n06.pdf" TargetMode="External"/><Relationship Id="rId33" Type="http://schemas.openxmlformats.org/officeDocument/2006/relationships/hyperlink" Target="http://gameqol.org" TargetMode="External"/><Relationship Id="rId38" Type="http://schemas.openxmlformats.org/officeDocument/2006/relationships/hyperlink" Target="http://newsletter.igda.org/2014/08/31/maintaining-quality-of-life-as-a-game-developer-entrepreneur-and-parent/" TargetMode="External"/><Relationship Id="rId46" Type="http://schemas.openxmlformats.org/officeDocument/2006/relationships/hyperlink" Target="http://gameqol.org/igda-qol-survey/" TargetMode="Externa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hyperlink" Target="http://www.brandeis.edu/centers/cfwp/barnett_presentations/LongWorkHours.pdf" TargetMode="External"/><Relationship Id="rId29" Type="http://schemas.openxmlformats.org/officeDocument/2006/relationships/hyperlink" Target="http://analytica.metapress.com/content/121034/" TargetMode="External"/><Relationship Id="rId41" Type="http://schemas.openxmlformats.org/officeDocument/2006/relationships/hyperlink" Target="http://www.kent.ac.uk/careers/workin/computergame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igda.org/news/179436/IGDA-Developer-Satisfaction-Survey-Summary-Report-Available.htm" TargetMode="External"/><Relationship Id="rId32" Type="http://schemas.openxmlformats.org/officeDocument/2006/relationships/hyperlink" Target="http://gameqol.org" TargetMode="External"/><Relationship Id="rId37" Type="http://schemas.openxmlformats.org/officeDocument/2006/relationships/hyperlink" Target="http://www.gamasutra.com/blogs/RockstarSpouse/20100107/4032/Wives_of_Rockstar_San_Diego_employees_have_collected_themselves.php" TargetMode="External"/><Relationship Id="rId40" Type="http://schemas.openxmlformats.org/officeDocument/2006/relationships/hyperlink" Target="http://www.tiga.org/about-us-and-uk-games/uk-video-games-industry" TargetMode="External"/><Relationship Id="rId45" Type="http://schemas.openxmlformats.org/officeDocument/2006/relationships/hyperlink" Target="https://www.igda.org/?page=dss2014" TargetMode="Externa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www.dir.ca.gov/dlse/LC515-5.pdf" TargetMode="External"/><Relationship Id="rId28" Type="http://schemas.openxmlformats.org/officeDocument/2006/relationships/hyperlink" Target="http://www.1up.com/features/gaming-dirty-secret" TargetMode="External"/><Relationship Id="rId36" Type="http://schemas.openxmlformats.org/officeDocument/2006/relationships/hyperlink" Target="http://theesa.ca/wp-content/uploads/2013/10/ESAC-Video-Games-Profile-2013-FINAL-2013-10-21-CIRC.pdf" TargetMode="External"/><Relationship Id="rId49"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gamasutra.com/blogs/BrendaBrathwaite/20110117/6815/Mike_Actons_quotIt_Doesnt_Have_To_Suck_gamedevquot.php" TargetMode="External"/><Relationship Id="rId31" Type="http://schemas.openxmlformats.org/officeDocument/2006/relationships/hyperlink" Target="http://www.igi-global.com/book/managing-dynamic-technology-oriented-businesses/62632" TargetMode="External"/><Relationship Id="rId44" Type="http://schemas.openxmlformats.org/officeDocument/2006/relationships/hyperlink" Target="http://gameqol.org/igda-qol-survey/"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www.informaworld.com/smpp/title~db=all~content=g911806569" TargetMode="External"/><Relationship Id="rId27" Type="http://schemas.openxmlformats.org/officeDocument/2006/relationships/hyperlink" Target="http://www.dir.ca.gov/IWC/IWCArticle4.pdf" TargetMode="External"/><Relationship Id="rId30" Type="http://schemas.openxmlformats.org/officeDocument/2006/relationships/hyperlink" Target="http://dx.doi.org/10.1016/j.ijproman.2011.11.004" TargetMode="External"/><Relationship Id="rId35" Type="http://schemas.openxmlformats.org/officeDocument/2006/relationships/hyperlink" Target="http://www.ilo.org/public/english/bureau/stat/download/articles/2002-3.pdf" TargetMode="External"/><Relationship Id="rId43" Type="http://schemas.openxmlformats.org/officeDocument/2006/relationships/hyperlink" Target="http://www.dol.gov/whd/overtime/fs17e_computer.pdf" TargetMode="External"/><Relationship Id="rId48" Type="http://schemas.openxmlformats.org/officeDocument/2006/relationships/fontTable" Target="fontTable.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7.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0"/>
          <c:tx>
            <c:v>Year 2014</c:v>
          </c:tx>
          <c:marker>
            <c:symbol val="none"/>
          </c:marker>
          <c:dLbls>
            <c:dLbl>
              <c:idx val="0"/>
              <c:delete val="1"/>
              <c:extLst>
                <c:ext xmlns:c15="http://schemas.microsoft.com/office/drawing/2012/chart" uri="{CE6537A1-D6FC-4f65-9D91-7224C49458BB}"/>
              </c:extLst>
            </c:dLbl>
            <c:dLbl>
              <c:idx val="1"/>
              <c:tx>
                <c:rich>
                  <a:bodyPr/>
                  <a:lstStyle/>
                  <a:p>
                    <a:r>
                      <a:rPr lang="en-US"/>
                      <a:t>2014</a:t>
                    </a:r>
                  </a:p>
                </c:rich>
              </c:tx>
              <c:showLegendKey val="1"/>
              <c:showVal val="0"/>
              <c:showCatName val="0"/>
              <c:showSerName val="1"/>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txPr>
              <a:bodyPr rot="0" vert="horz"/>
              <a:lstStyle/>
              <a:p>
                <a:pPr>
                  <a:defRPr/>
                </a:pPr>
                <a:endParaRPr lang="en-US"/>
              </a:p>
            </c:txPr>
            <c:showLegendKey val="1"/>
            <c:showVal val="0"/>
            <c:showCatName val="0"/>
            <c:showSerName val="1"/>
            <c:showPercent val="0"/>
            <c:showBubbleSize val="0"/>
            <c:showLeaderLines val="0"/>
            <c:extLst>
              <c:ext xmlns:c15="http://schemas.microsoft.com/office/drawing/2012/chart" uri="{CE6537A1-D6FC-4f65-9D91-7224C49458BB}">
                <c15:showLeaderLines val="0"/>
              </c:ext>
            </c:extLst>
          </c:dLbls>
          <c:cat>
            <c:strRef>
              <c:f>Feuil1!$A$1:$A$4</c:f>
              <c:strCache>
                <c:ptCount val="4"/>
                <c:pt idx="0">
                  <c:v>0-34</c:v>
                </c:pt>
                <c:pt idx="1">
                  <c:v>35-44</c:v>
                </c:pt>
                <c:pt idx="2">
                  <c:v>45-59</c:v>
                </c:pt>
                <c:pt idx="3">
                  <c:v>60+</c:v>
                </c:pt>
              </c:strCache>
            </c:strRef>
          </c:cat>
          <c:val>
            <c:numRef>
              <c:f>Feuil1!$D$1:$D$4</c:f>
              <c:numCache>
                <c:formatCode>General</c:formatCode>
                <c:ptCount val="4"/>
                <c:pt idx="0">
                  <c:v>9.5</c:v>
                </c:pt>
                <c:pt idx="1">
                  <c:v>56.6</c:v>
                </c:pt>
                <c:pt idx="2">
                  <c:v>28.8</c:v>
                </c:pt>
                <c:pt idx="3">
                  <c:v>5.0999999999999996</c:v>
                </c:pt>
              </c:numCache>
            </c:numRef>
          </c:val>
          <c:smooth val="0"/>
        </c:ser>
        <c:ser>
          <c:idx val="1"/>
          <c:order val="1"/>
          <c:tx>
            <c:v>Year 2009</c:v>
          </c:tx>
          <c:marker>
            <c:symbol val="none"/>
          </c:marker>
          <c:dLbls>
            <c:dLbl>
              <c:idx val="0"/>
              <c:delete val="1"/>
              <c:extLst>
                <c:ext xmlns:c15="http://schemas.microsoft.com/office/drawing/2012/chart" uri="{CE6537A1-D6FC-4f65-9D91-7224C49458BB}"/>
              </c:extLst>
            </c:dLbl>
            <c:dLbl>
              <c:idx val="1"/>
              <c:layout>
                <c:manualLayout>
                  <c:x val="4.0355125100887797E-2"/>
                  <c:y val="4.5806906272022593E-2"/>
                </c:manualLayout>
              </c:layout>
              <c:tx>
                <c:rich>
                  <a:bodyPr/>
                  <a:lstStyle/>
                  <a:p>
                    <a:r>
                      <a:rPr lang="en-US"/>
                      <a:t>2009</a:t>
                    </a:r>
                  </a:p>
                </c:rich>
              </c:tx>
              <c:showLegendKey val="1"/>
              <c:showVal val="0"/>
              <c:showCatName val="0"/>
              <c:showSerName val="1"/>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txPr>
              <a:bodyPr rot="0" vert="horz"/>
              <a:lstStyle/>
              <a:p>
                <a:pPr>
                  <a:defRPr/>
                </a:pPr>
                <a:endParaRPr lang="en-US"/>
              </a:p>
            </c:txPr>
            <c:showLegendKey val="1"/>
            <c:showVal val="0"/>
            <c:showCatName val="0"/>
            <c:showSerName val="1"/>
            <c:showPercent val="0"/>
            <c:showBubbleSize val="0"/>
            <c:showLeaderLines val="0"/>
            <c:extLst>
              <c:ext xmlns:c15="http://schemas.microsoft.com/office/drawing/2012/chart" uri="{CE6537A1-D6FC-4f65-9D91-7224C49458BB}">
                <c15:showLeaderLines val="0"/>
              </c:ext>
            </c:extLst>
          </c:dLbls>
          <c:cat>
            <c:strRef>
              <c:f>Feuil1!$A$1:$A$4</c:f>
              <c:strCache>
                <c:ptCount val="4"/>
                <c:pt idx="0">
                  <c:v>0-34</c:v>
                </c:pt>
                <c:pt idx="1">
                  <c:v>35-44</c:v>
                </c:pt>
                <c:pt idx="2">
                  <c:v>45-59</c:v>
                </c:pt>
                <c:pt idx="3">
                  <c:v>60+</c:v>
                </c:pt>
              </c:strCache>
            </c:strRef>
          </c:cat>
          <c:val>
            <c:numRef>
              <c:f>Feuil1!$C$1:$C$4</c:f>
              <c:numCache>
                <c:formatCode>General</c:formatCode>
                <c:ptCount val="4"/>
                <c:pt idx="0">
                  <c:v>3.7</c:v>
                </c:pt>
                <c:pt idx="1">
                  <c:v>56.3</c:v>
                </c:pt>
                <c:pt idx="2">
                  <c:v>37.700000000000003</c:v>
                </c:pt>
                <c:pt idx="3">
                  <c:v>3.1</c:v>
                </c:pt>
              </c:numCache>
            </c:numRef>
          </c:val>
          <c:smooth val="0"/>
        </c:ser>
        <c:ser>
          <c:idx val="0"/>
          <c:order val="2"/>
          <c:tx>
            <c:v>Year 2004</c:v>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tx>
                <c:rich>
                  <a:bodyPr/>
                  <a:lstStyle/>
                  <a:p>
                    <a:r>
                      <a:rPr lang="en-US"/>
                      <a:t>2004</a:t>
                    </a:r>
                  </a:p>
                </c:rich>
              </c:tx>
              <c:showLegendKey val="1"/>
              <c:showVal val="0"/>
              <c:showCatName val="0"/>
              <c:showSerName val="1"/>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txPr>
              <a:bodyPr rot="0" vert="horz"/>
              <a:lstStyle/>
              <a:p>
                <a:pPr>
                  <a:defRPr/>
                </a:pPr>
                <a:endParaRPr lang="en-US"/>
              </a:p>
            </c:txPr>
            <c:showLegendKey val="1"/>
            <c:showVal val="0"/>
            <c:showCatName val="0"/>
            <c:showSerName val="1"/>
            <c:showPercent val="0"/>
            <c:showBubbleSize val="0"/>
            <c:showLeaderLines val="0"/>
            <c:extLst>
              <c:ext xmlns:c15="http://schemas.microsoft.com/office/drawing/2012/chart" uri="{CE6537A1-D6FC-4f65-9D91-7224C49458BB}">
                <c15:showLeaderLines val="0"/>
              </c:ext>
            </c:extLst>
          </c:dLbls>
          <c:cat>
            <c:strRef>
              <c:f>Feuil1!$A$1:$A$4</c:f>
              <c:strCache>
                <c:ptCount val="4"/>
                <c:pt idx="0">
                  <c:v>0-34</c:v>
                </c:pt>
                <c:pt idx="1">
                  <c:v>35-44</c:v>
                </c:pt>
                <c:pt idx="2">
                  <c:v>45-59</c:v>
                </c:pt>
                <c:pt idx="3">
                  <c:v>60+</c:v>
                </c:pt>
              </c:strCache>
            </c:strRef>
          </c:cat>
          <c:val>
            <c:numRef>
              <c:f>Feuil1!$B$1:$B$4</c:f>
              <c:numCache>
                <c:formatCode>General</c:formatCode>
                <c:ptCount val="4"/>
                <c:pt idx="0">
                  <c:v>0.8</c:v>
                </c:pt>
                <c:pt idx="1">
                  <c:v>38.800000000000004</c:v>
                </c:pt>
                <c:pt idx="2">
                  <c:v>41.8</c:v>
                </c:pt>
                <c:pt idx="3">
                  <c:v>18.600000000000001</c:v>
                </c:pt>
              </c:numCache>
            </c:numRef>
          </c:val>
          <c:smooth val="0"/>
        </c:ser>
        <c:dLbls>
          <c:showLegendKey val="0"/>
          <c:showVal val="0"/>
          <c:showCatName val="0"/>
          <c:showSerName val="0"/>
          <c:showPercent val="0"/>
          <c:showBubbleSize val="0"/>
        </c:dLbls>
        <c:marker val="1"/>
        <c:smooth val="0"/>
        <c:axId val="156580480"/>
        <c:axId val="158469504"/>
      </c:lineChart>
      <c:catAx>
        <c:axId val="156580480"/>
        <c:scaling>
          <c:orientation val="minMax"/>
        </c:scaling>
        <c:delete val="0"/>
        <c:axPos val="b"/>
        <c:title>
          <c:tx>
            <c:rich>
              <a:bodyPr rot="0" vert="horz"/>
              <a:lstStyle/>
              <a:p>
                <a:pPr>
                  <a:defRPr/>
                </a:pPr>
                <a:r>
                  <a:rPr lang="fr-CA"/>
                  <a:t>Hours per week</a:t>
                </a:r>
              </a:p>
            </c:rich>
          </c:tx>
          <c:overlay val="0"/>
        </c:title>
        <c:numFmt formatCode="General" sourceLinked="1"/>
        <c:majorTickMark val="none"/>
        <c:minorTickMark val="none"/>
        <c:tickLblPos val="nextTo"/>
        <c:txPr>
          <a:bodyPr rot="-60000000" vert="horz"/>
          <a:lstStyle/>
          <a:p>
            <a:pPr>
              <a:defRPr/>
            </a:pPr>
            <a:endParaRPr lang="en-US"/>
          </a:p>
        </c:txPr>
        <c:crossAx val="158469504"/>
        <c:crosses val="autoZero"/>
        <c:auto val="1"/>
        <c:lblAlgn val="ctr"/>
        <c:lblOffset val="100"/>
        <c:noMultiLvlLbl val="0"/>
      </c:catAx>
      <c:valAx>
        <c:axId val="158469504"/>
        <c:scaling>
          <c:orientation val="minMax"/>
        </c:scaling>
        <c:delete val="0"/>
        <c:axPos val="l"/>
        <c:majorGridlines/>
        <c:title>
          <c:tx>
            <c:rich>
              <a:bodyPr rot="-5400000" vert="horz"/>
              <a:lstStyle/>
              <a:p>
                <a:pPr>
                  <a:defRPr/>
                </a:pPr>
                <a:r>
                  <a:rPr lang="fr-CA"/>
                  <a:t>% of respondents</a:t>
                </a:r>
              </a:p>
            </c:rich>
          </c:tx>
          <c:overlay val="0"/>
        </c:title>
        <c:numFmt formatCode="General" sourceLinked="1"/>
        <c:majorTickMark val="none"/>
        <c:minorTickMark val="none"/>
        <c:tickLblPos val="nextTo"/>
        <c:txPr>
          <a:bodyPr rot="-60000000" vert="horz"/>
          <a:lstStyle/>
          <a:p>
            <a:pPr>
              <a:defRPr/>
            </a:pPr>
            <a:endParaRPr lang="en-US"/>
          </a:p>
        </c:txPr>
        <c:crossAx val="15658048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v>2014</c:v>
          </c:tx>
          <c:invertIfNegative val="0"/>
          <c:dLbls>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Feuil1!$A$47:$A$49</c:f>
              <c:strCache>
                <c:ptCount val="3"/>
                <c:pt idx="0">
                  <c:v>0-4</c:v>
                </c:pt>
                <c:pt idx="1">
                  <c:v>5-9</c:v>
                </c:pt>
                <c:pt idx="2">
                  <c:v>10+</c:v>
                </c:pt>
              </c:strCache>
            </c:strRef>
          </c:cat>
          <c:val>
            <c:numRef>
              <c:f>Feuil1!$D$47:$D$49</c:f>
              <c:numCache>
                <c:formatCode>General</c:formatCode>
                <c:ptCount val="3"/>
                <c:pt idx="0">
                  <c:v>84</c:v>
                </c:pt>
                <c:pt idx="1">
                  <c:v>9</c:v>
                </c:pt>
                <c:pt idx="2">
                  <c:v>8</c:v>
                </c:pt>
              </c:numCache>
            </c:numRef>
          </c:val>
        </c:ser>
        <c:ser>
          <c:idx val="1"/>
          <c:order val="1"/>
          <c:tx>
            <c:v>2009</c:v>
          </c:tx>
          <c:invertIfNegative val="0"/>
          <c:dLbls>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Feuil1!$A$47:$A$49</c:f>
              <c:strCache>
                <c:ptCount val="3"/>
                <c:pt idx="0">
                  <c:v>0-4</c:v>
                </c:pt>
                <c:pt idx="1">
                  <c:v>5-9</c:v>
                </c:pt>
                <c:pt idx="2">
                  <c:v>10+</c:v>
                </c:pt>
              </c:strCache>
            </c:strRef>
          </c:cat>
          <c:val>
            <c:numRef>
              <c:f>Feuil1!$C$47:$C$49</c:f>
              <c:numCache>
                <c:formatCode>0</c:formatCode>
                <c:ptCount val="3"/>
                <c:pt idx="0">
                  <c:v>70</c:v>
                </c:pt>
                <c:pt idx="1">
                  <c:v>15</c:v>
                </c:pt>
                <c:pt idx="2">
                  <c:v>16</c:v>
                </c:pt>
              </c:numCache>
            </c:numRef>
          </c:val>
        </c:ser>
        <c:ser>
          <c:idx val="0"/>
          <c:order val="2"/>
          <c:tx>
            <c:v>2004</c:v>
          </c:tx>
          <c:invertIfNegative val="0"/>
          <c:dLbls>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Feuil1!$A$47:$A$49</c:f>
              <c:strCache>
                <c:ptCount val="3"/>
                <c:pt idx="0">
                  <c:v>0-4</c:v>
                </c:pt>
                <c:pt idx="1">
                  <c:v>5-9</c:v>
                </c:pt>
                <c:pt idx="2">
                  <c:v>10+</c:v>
                </c:pt>
              </c:strCache>
            </c:strRef>
          </c:cat>
          <c:val>
            <c:numRef>
              <c:f>Feuil1!$B$47:$B$49</c:f>
              <c:numCache>
                <c:formatCode>0</c:formatCode>
                <c:ptCount val="3"/>
                <c:pt idx="0">
                  <c:v>62</c:v>
                </c:pt>
                <c:pt idx="1">
                  <c:v>15</c:v>
                </c:pt>
                <c:pt idx="2">
                  <c:v>22</c:v>
                </c:pt>
              </c:numCache>
            </c:numRef>
          </c:val>
        </c:ser>
        <c:dLbls>
          <c:showLegendKey val="0"/>
          <c:showVal val="1"/>
          <c:showCatName val="0"/>
          <c:showSerName val="0"/>
          <c:showPercent val="0"/>
          <c:showBubbleSize val="0"/>
        </c:dLbls>
        <c:gapWidth val="219"/>
        <c:overlap val="-27"/>
        <c:axId val="218542848"/>
        <c:axId val="218544768"/>
      </c:barChart>
      <c:catAx>
        <c:axId val="218542848"/>
        <c:scaling>
          <c:orientation val="minMax"/>
        </c:scaling>
        <c:delete val="0"/>
        <c:axPos val="b"/>
        <c:majorGridlines/>
        <c:title>
          <c:tx>
            <c:rich>
              <a:bodyPr rot="0" vert="horz"/>
              <a:lstStyle/>
              <a:p>
                <a:pPr>
                  <a:defRPr/>
                </a:pPr>
                <a:r>
                  <a:rPr lang="fr-CA"/>
                  <a:t>Weeks per year</a:t>
                </a:r>
              </a:p>
            </c:rich>
          </c:tx>
          <c:overlay val="0"/>
        </c:title>
        <c:numFmt formatCode="General" sourceLinked="1"/>
        <c:majorTickMark val="none"/>
        <c:minorTickMark val="none"/>
        <c:tickLblPos val="nextTo"/>
        <c:txPr>
          <a:bodyPr rot="-60000000" vert="horz"/>
          <a:lstStyle/>
          <a:p>
            <a:pPr>
              <a:defRPr/>
            </a:pPr>
            <a:endParaRPr lang="en-US"/>
          </a:p>
        </c:txPr>
        <c:crossAx val="218544768"/>
        <c:crosses val="autoZero"/>
        <c:auto val="1"/>
        <c:lblAlgn val="ctr"/>
        <c:lblOffset val="100"/>
        <c:noMultiLvlLbl val="0"/>
      </c:catAx>
      <c:valAx>
        <c:axId val="218544768"/>
        <c:scaling>
          <c:orientation val="minMax"/>
        </c:scaling>
        <c:delete val="0"/>
        <c:axPos val="l"/>
        <c:title>
          <c:tx>
            <c:rich>
              <a:bodyPr rot="-5400000" vert="horz"/>
              <a:lstStyle/>
              <a:p>
                <a:pPr>
                  <a:defRPr/>
                </a:pPr>
                <a:r>
                  <a:rPr lang="fr-CA"/>
                  <a:t>% of respondents</a:t>
                </a:r>
              </a:p>
            </c:rich>
          </c:tx>
          <c:overlay val="0"/>
        </c:title>
        <c:numFmt formatCode="General" sourceLinked="1"/>
        <c:majorTickMark val="none"/>
        <c:minorTickMark val="none"/>
        <c:tickLblPos val="nextTo"/>
        <c:txPr>
          <a:bodyPr rot="-60000000" vert="horz"/>
          <a:lstStyle/>
          <a:p>
            <a:pPr>
              <a:defRPr/>
            </a:pPr>
            <a:endParaRPr lang="en-US"/>
          </a:p>
        </c:txPr>
        <c:crossAx val="218542848"/>
        <c:crosses val="autoZero"/>
        <c:crossBetween val="between"/>
      </c:valAx>
    </c:plotArea>
    <c:legend>
      <c:legendPos val="b"/>
      <c:overlay val="0"/>
      <c:txPr>
        <a:bodyPr rot="0" vert="horz"/>
        <a:lstStyle/>
        <a:p>
          <a:pPr>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2009</c:v>
          </c:tx>
          <c:marker>
            <c:symbol val="none"/>
          </c:marker>
          <c:dLbls>
            <c:dLbl>
              <c:idx val="0"/>
              <c:delete val="1"/>
              <c:extLst>
                <c:ext xmlns:c15="http://schemas.microsoft.com/office/drawing/2012/chart" uri="{CE6537A1-D6FC-4f65-9D91-7224C49458BB}"/>
              </c:extLst>
            </c:dLbl>
            <c:dLbl>
              <c:idx val="1"/>
              <c:layout>
                <c:manualLayout>
                  <c:x val="-6.6697003648309421E-3"/>
                  <c:y val="6.0492534953829717E-2"/>
                </c:manualLayout>
              </c:layout>
              <c:dLblPos val="r"/>
              <c:showLegendKey val="1"/>
              <c:showVal val="0"/>
              <c:showCatName val="0"/>
              <c:showSerName val="1"/>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Feuil1!$A$34:$A$45</c:f>
              <c:strCache>
                <c:ptCount val="12"/>
                <c:pt idx="0">
                  <c:v>0</c:v>
                </c:pt>
                <c:pt idx="1">
                  <c:v>0.5-4</c:v>
                </c:pt>
                <c:pt idx="2">
                  <c:v>5-9</c:v>
                </c:pt>
                <c:pt idx="3">
                  <c:v>10-14</c:v>
                </c:pt>
                <c:pt idx="4">
                  <c:v>15-19</c:v>
                </c:pt>
                <c:pt idx="5">
                  <c:v>20-24</c:v>
                </c:pt>
                <c:pt idx="6">
                  <c:v>25-29</c:v>
                </c:pt>
                <c:pt idx="7">
                  <c:v>30-34</c:v>
                </c:pt>
                <c:pt idx="8">
                  <c:v>35-39</c:v>
                </c:pt>
                <c:pt idx="9">
                  <c:v>40-44</c:v>
                </c:pt>
                <c:pt idx="10">
                  <c:v>45-49</c:v>
                </c:pt>
                <c:pt idx="11">
                  <c:v>50-52</c:v>
                </c:pt>
              </c:strCache>
            </c:strRef>
          </c:cat>
          <c:val>
            <c:numRef>
              <c:f>Feuil1!$B$34:$B$45</c:f>
              <c:numCache>
                <c:formatCode>0</c:formatCode>
                <c:ptCount val="12"/>
                <c:pt idx="0">
                  <c:v>9.7000000000000011</c:v>
                </c:pt>
                <c:pt idx="1">
                  <c:v>60.2</c:v>
                </c:pt>
                <c:pt idx="2">
                  <c:v>14.8</c:v>
                </c:pt>
                <c:pt idx="3">
                  <c:v>8.1</c:v>
                </c:pt>
                <c:pt idx="4">
                  <c:v>2.2999999999999998</c:v>
                </c:pt>
                <c:pt idx="5">
                  <c:v>2.4</c:v>
                </c:pt>
                <c:pt idx="6">
                  <c:v>0.70000000000000062</c:v>
                </c:pt>
                <c:pt idx="7">
                  <c:v>0.60000000000000064</c:v>
                </c:pt>
                <c:pt idx="8">
                  <c:v>0.2</c:v>
                </c:pt>
                <c:pt idx="9">
                  <c:v>0.2</c:v>
                </c:pt>
                <c:pt idx="10">
                  <c:v>0</c:v>
                </c:pt>
                <c:pt idx="11">
                  <c:v>1.1000000000000001</c:v>
                </c:pt>
              </c:numCache>
            </c:numRef>
          </c:val>
          <c:smooth val="0"/>
        </c:ser>
        <c:ser>
          <c:idx val="1"/>
          <c:order val="1"/>
          <c:tx>
            <c:v>2014</c:v>
          </c:tx>
          <c:marker>
            <c:symbol val="none"/>
          </c:marker>
          <c:dLbls>
            <c:dLbl>
              <c:idx val="0"/>
              <c:delete val="1"/>
              <c:extLst>
                <c:ext xmlns:c15="http://schemas.microsoft.com/office/drawing/2012/chart" uri="{CE6537A1-D6FC-4f65-9D91-7224C49458BB}"/>
              </c:extLst>
            </c:dLbl>
            <c:dLbl>
              <c:idx val="1"/>
              <c:layout>
                <c:manualLayout>
                  <c:x val="5.59859750184702E-3"/>
                  <c:y val="8.0459031611672741E-2"/>
                </c:manualLayout>
              </c:layout>
              <c:dLblPos val="r"/>
              <c:showLegendKey val="1"/>
              <c:showVal val="0"/>
              <c:showCatName val="0"/>
              <c:showSerName val="1"/>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txPr>
              <a:bodyPr rot="0" vert="horz"/>
              <a:lstStyle/>
              <a:p>
                <a:pPr>
                  <a:defRPr/>
                </a:pPr>
                <a:endParaRPr lang="en-US"/>
              </a:p>
            </c:txPr>
            <c:dLblPos val="t"/>
            <c:showLegendKey val="1"/>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Feuil1!$A$34:$A$45</c:f>
              <c:strCache>
                <c:ptCount val="12"/>
                <c:pt idx="0">
                  <c:v>0</c:v>
                </c:pt>
                <c:pt idx="1">
                  <c:v>0.5-4</c:v>
                </c:pt>
                <c:pt idx="2">
                  <c:v>5-9</c:v>
                </c:pt>
                <c:pt idx="3">
                  <c:v>10-14</c:v>
                </c:pt>
                <c:pt idx="4">
                  <c:v>15-19</c:v>
                </c:pt>
                <c:pt idx="5">
                  <c:v>20-24</c:v>
                </c:pt>
                <c:pt idx="6">
                  <c:v>25-29</c:v>
                </c:pt>
                <c:pt idx="7">
                  <c:v>30-34</c:v>
                </c:pt>
                <c:pt idx="8">
                  <c:v>35-39</c:v>
                </c:pt>
                <c:pt idx="9">
                  <c:v>40-44</c:v>
                </c:pt>
                <c:pt idx="10">
                  <c:v>45-49</c:v>
                </c:pt>
                <c:pt idx="11">
                  <c:v>50-52</c:v>
                </c:pt>
              </c:strCache>
            </c:strRef>
          </c:cat>
          <c:val>
            <c:numRef>
              <c:f>Feuil1!$C$34:$C$45</c:f>
              <c:numCache>
                <c:formatCode>0</c:formatCode>
                <c:ptCount val="12"/>
                <c:pt idx="0">
                  <c:v>28</c:v>
                </c:pt>
                <c:pt idx="1">
                  <c:v>55.2</c:v>
                </c:pt>
                <c:pt idx="2">
                  <c:v>8.8000000000000007</c:v>
                </c:pt>
                <c:pt idx="3">
                  <c:v>4.0999999999999996</c:v>
                </c:pt>
                <c:pt idx="4">
                  <c:v>0.8</c:v>
                </c:pt>
                <c:pt idx="5">
                  <c:v>1.6</c:v>
                </c:pt>
                <c:pt idx="6">
                  <c:v>0.30000000000000032</c:v>
                </c:pt>
                <c:pt idx="7">
                  <c:v>0.2</c:v>
                </c:pt>
                <c:pt idx="8">
                  <c:v>0.2</c:v>
                </c:pt>
                <c:pt idx="9">
                  <c:v>0</c:v>
                </c:pt>
                <c:pt idx="10">
                  <c:v>0.2</c:v>
                </c:pt>
                <c:pt idx="11">
                  <c:v>0.4</c:v>
                </c:pt>
              </c:numCache>
            </c:numRef>
          </c:val>
          <c:smooth val="0"/>
        </c:ser>
        <c:dLbls>
          <c:showLegendKey val="0"/>
          <c:showVal val="1"/>
          <c:showCatName val="0"/>
          <c:showSerName val="0"/>
          <c:showPercent val="0"/>
          <c:showBubbleSize val="0"/>
        </c:dLbls>
        <c:marker val="1"/>
        <c:smooth val="0"/>
        <c:axId val="218980736"/>
        <c:axId val="218982656"/>
      </c:lineChart>
      <c:catAx>
        <c:axId val="218980736"/>
        <c:scaling>
          <c:orientation val="minMax"/>
        </c:scaling>
        <c:delete val="0"/>
        <c:axPos val="b"/>
        <c:title>
          <c:tx>
            <c:rich>
              <a:bodyPr rot="0" vert="horz"/>
              <a:lstStyle/>
              <a:p>
                <a:pPr>
                  <a:defRPr/>
                </a:pPr>
                <a:r>
                  <a:rPr lang="fr-CA"/>
                  <a:t>Weeks per year</a:t>
                </a:r>
              </a:p>
            </c:rich>
          </c:tx>
          <c:overlay val="0"/>
        </c:title>
        <c:numFmt formatCode="General" sourceLinked="1"/>
        <c:majorTickMark val="none"/>
        <c:minorTickMark val="none"/>
        <c:tickLblPos val="nextTo"/>
        <c:txPr>
          <a:bodyPr rot="-60000000" vert="horz"/>
          <a:lstStyle/>
          <a:p>
            <a:pPr>
              <a:defRPr/>
            </a:pPr>
            <a:endParaRPr lang="en-US"/>
          </a:p>
        </c:txPr>
        <c:crossAx val="218982656"/>
        <c:crosses val="autoZero"/>
        <c:auto val="1"/>
        <c:lblAlgn val="ctr"/>
        <c:lblOffset val="100"/>
        <c:noMultiLvlLbl val="0"/>
      </c:catAx>
      <c:valAx>
        <c:axId val="218982656"/>
        <c:scaling>
          <c:orientation val="minMax"/>
        </c:scaling>
        <c:delete val="0"/>
        <c:axPos val="l"/>
        <c:majorGridlines/>
        <c:title>
          <c:tx>
            <c:rich>
              <a:bodyPr rot="-5400000" vert="horz"/>
              <a:lstStyle/>
              <a:p>
                <a:pPr>
                  <a:defRPr/>
                </a:pPr>
                <a:r>
                  <a:rPr lang="fr-CA"/>
                  <a:t>% of respondents</a:t>
                </a:r>
              </a:p>
            </c:rich>
          </c:tx>
          <c:overlay val="0"/>
        </c:title>
        <c:numFmt formatCode="0" sourceLinked="1"/>
        <c:majorTickMark val="none"/>
        <c:minorTickMark val="none"/>
        <c:tickLblPos val="nextTo"/>
        <c:txPr>
          <a:bodyPr rot="-60000000" vert="horz"/>
          <a:lstStyle/>
          <a:p>
            <a:pPr>
              <a:defRPr/>
            </a:pPr>
            <a:endParaRPr lang="en-US"/>
          </a:p>
        </c:txPr>
        <c:crossAx val="2189807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Expected 2009</c:v>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1.6012810248198683E-2"/>
                  <c:y val="-2.9634019854793523E-3"/>
                </c:manualLayout>
              </c:layout>
              <c:dLblPos val="r"/>
              <c:showLegendKey val="1"/>
              <c:showVal val="0"/>
              <c:showCatName val="0"/>
              <c:showSerName val="1"/>
              <c:showPercent val="0"/>
              <c:showBubbleSize val="0"/>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numFmt formatCode="General" sourceLinked="0"/>
            <c:dLblPos val="r"/>
            <c:showLegendKey val="1"/>
            <c:showVal val="0"/>
            <c:showCatName val="0"/>
            <c:showSerName val="1"/>
            <c:showPercent val="0"/>
            <c:showBubbleSize val="0"/>
            <c:showLeaderLines val="0"/>
            <c:extLst>
              <c:ext xmlns:c15="http://schemas.microsoft.com/office/drawing/2012/chart" uri="{CE6537A1-D6FC-4f65-9D91-7224C49458BB}">
                <c15:showLeaderLines val="0"/>
              </c:ext>
            </c:extLst>
          </c:dLbls>
          <c:cat>
            <c:strRef>
              <c:f>Feuil1!$A$1:$A$11</c:f>
              <c:strCache>
                <c:ptCount val="11"/>
                <c:pt idx="0">
                  <c:v>0-20</c:v>
                </c:pt>
                <c:pt idx="1">
                  <c:v>20-24</c:v>
                </c:pt>
                <c:pt idx="2">
                  <c:v>25-29</c:v>
                </c:pt>
                <c:pt idx="3">
                  <c:v>30-34</c:v>
                </c:pt>
                <c:pt idx="4">
                  <c:v>35-39</c:v>
                </c:pt>
                <c:pt idx="5">
                  <c:v>40-44</c:v>
                </c:pt>
                <c:pt idx="6">
                  <c:v>45-49</c:v>
                </c:pt>
                <c:pt idx="7">
                  <c:v>50-59</c:v>
                </c:pt>
                <c:pt idx="8">
                  <c:v>60-69</c:v>
                </c:pt>
                <c:pt idx="9">
                  <c:v>70-79</c:v>
                </c:pt>
                <c:pt idx="10">
                  <c:v>80+</c:v>
                </c:pt>
              </c:strCache>
            </c:strRef>
          </c:cat>
          <c:val>
            <c:numRef>
              <c:f>Feuil1!$B$1:$B$11</c:f>
              <c:numCache>
                <c:formatCode>General</c:formatCode>
                <c:ptCount val="11"/>
                <c:pt idx="0">
                  <c:v>1.8</c:v>
                </c:pt>
                <c:pt idx="1">
                  <c:v>1</c:v>
                </c:pt>
                <c:pt idx="2">
                  <c:v>0.2</c:v>
                </c:pt>
                <c:pt idx="3">
                  <c:v>0.2</c:v>
                </c:pt>
                <c:pt idx="4">
                  <c:v>7.5</c:v>
                </c:pt>
                <c:pt idx="5">
                  <c:v>71.2</c:v>
                </c:pt>
                <c:pt idx="6">
                  <c:v>10.3</c:v>
                </c:pt>
                <c:pt idx="7">
                  <c:v>7</c:v>
                </c:pt>
                <c:pt idx="8">
                  <c:v>0.9</c:v>
                </c:pt>
                <c:pt idx="9">
                  <c:v>0.4</c:v>
                </c:pt>
                <c:pt idx="10">
                  <c:v>0.2</c:v>
                </c:pt>
              </c:numCache>
            </c:numRef>
          </c:val>
          <c:smooth val="0"/>
        </c:ser>
        <c:ser>
          <c:idx val="1"/>
          <c:order val="1"/>
          <c:tx>
            <c:v>Actual 2009</c:v>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8.0064051240993066E-3"/>
                  <c:y val="1.7780411912876E-2"/>
                </c:manualLayout>
              </c:layout>
              <c:numFmt formatCode="General" sourceLinked="0"/>
              <c:spPr/>
              <c:txPr>
                <a:bodyPr/>
                <a:lstStyle/>
                <a:p>
                  <a:pPr>
                    <a:defRPr/>
                  </a:pPr>
                  <a:endParaRPr lang="en-US"/>
                </a:p>
              </c:txPr>
              <c:showLegendKey val="1"/>
              <c:showVal val="0"/>
              <c:showCatName val="0"/>
              <c:showSerName val="1"/>
              <c:showPercent val="0"/>
              <c:showBubbleSize val="0"/>
              <c:extLst>
                <c:ext xmlns:c15="http://schemas.microsoft.com/office/drawing/2012/chart" uri="{CE6537A1-D6FC-4f65-9D91-7224C49458BB}">
                  <c15:spPr xmlns:c15="http://schemas.microsoft.com/office/drawing/2012/chart">
                    <a:prstGeom prst="wedgeRectCallout">
                      <a:avLst/>
                    </a:prstGeom>
                  </c15:spPr>
                </c:ext>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numFmt formatCode="General" sourceLinked="0"/>
            <c:showLegendKey val="1"/>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Feuil1!$A$1:$A$11</c:f>
              <c:strCache>
                <c:ptCount val="11"/>
                <c:pt idx="0">
                  <c:v>0-20</c:v>
                </c:pt>
                <c:pt idx="1">
                  <c:v>20-24</c:v>
                </c:pt>
                <c:pt idx="2">
                  <c:v>25-29</c:v>
                </c:pt>
                <c:pt idx="3">
                  <c:v>30-34</c:v>
                </c:pt>
                <c:pt idx="4">
                  <c:v>35-39</c:v>
                </c:pt>
                <c:pt idx="5">
                  <c:v>40-44</c:v>
                </c:pt>
                <c:pt idx="6">
                  <c:v>45-49</c:v>
                </c:pt>
                <c:pt idx="7">
                  <c:v>50-59</c:v>
                </c:pt>
                <c:pt idx="8">
                  <c:v>60-69</c:v>
                </c:pt>
                <c:pt idx="9">
                  <c:v>70-79</c:v>
                </c:pt>
                <c:pt idx="10">
                  <c:v>80+</c:v>
                </c:pt>
              </c:strCache>
            </c:strRef>
          </c:cat>
          <c:val>
            <c:numRef>
              <c:f>Feuil1!$C$1:$C$11</c:f>
              <c:numCache>
                <c:formatCode>General</c:formatCode>
                <c:ptCount val="11"/>
                <c:pt idx="0">
                  <c:v>1.6</c:v>
                </c:pt>
                <c:pt idx="1">
                  <c:v>0.30000000000000032</c:v>
                </c:pt>
                <c:pt idx="2">
                  <c:v>0.4</c:v>
                </c:pt>
                <c:pt idx="3">
                  <c:v>1.4</c:v>
                </c:pt>
                <c:pt idx="4">
                  <c:v>6.2</c:v>
                </c:pt>
                <c:pt idx="5">
                  <c:v>50.1</c:v>
                </c:pt>
                <c:pt idx="6">
                  <c:v>20.6</c:v>
                </c:pt>
                <c:pt idx="7">
                  <c:v>17.100000000000001</c:v>
                </c:pt>
                <c:pt idx="8">
                  <c:v>2.4</c:v>
                </c:pt>
                <c:pt idx="9">
                  <c:v>0.5</c:v>
                </c:pt>
                <c:pt idx="10">
                  <c:v>0.2</c:v>
                </c:pt>
              </c:numCache>
            </c:numRef>
          </c:val>
          <c:smooth val="0"/>
        </c:ser>
        <c:ser>
          <c:idx val="2"/>
          <c:order val="2"/>
          <c:tx>
            <c:v>Expected 2014</c:v>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0"/>
                  <c:y val="-1.1853607941917426E-2"/>
                </c:manualLayout>
              </c:layout>
              <c:showLegendKey val="1"/>
              <c:showVal val="0"/>
              <c:showCatName val="0"/>
              <c:showSerName val="1"/>
              <c:showPercent val="0"/>
              <c:showBubbleSize val="0"/>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numFmt formatCode="General" sourceLinked="0"/>
            <c:showLegendKey val="1"/>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Feuil1!$A$1:$A$11</c:f>
              <c:strCache>
                <c:ptCount val="11"/>
                <c:pt idx="0">
                  <c:v>0-20</c:v>
                </c:pt>
                <c:pt idx="1">
                  <c:v>20-24</c:v>
                </c:pt>
                <c:pt idx="2">
                  <c:v>25-29</c:v>
                </c:pt>
                <c:pt idx="3">
                  <c:v>30-34</c:v>
                </c:pt>
                <c:pt idx="4">
                  <c:v>35-39</c:v>
                </c:pt>
                <c:pt idx="5">
                  <c:v>40-44</c:v>
                </c:pt>
                <c:pt idx="6">
                  <c:v>45-49</c:v>
                </c:pt>
                <c:pt idx="7">
                  <c:v>50-59</c:v>
                </c:pt>
                <c:pt idx="8">
                  <c:v>60-69</c:v>
                </c:pt>
                <c:pt idx="9">
                  <c:v>70-79</c:v>
                </c:pt>
                <c:pt idx="10">
                  <c:v>80+</c:v>
                </c:pt>
              </c:strCache>
            </c:strRef>
          </c:cat>
          <c:val>
            <c:numRef>
              <c:f>Feuil1!$D$1:$D$11</c:f>
              <c:numCache>
                <c:formatCode>General</c:formatCode>
                <c:ptCount val="11"/>
                <c:pt idx="0">
                  <c:v>2.5</c:v>
                </c:pt>
                <c:pt idx="1">
                  <c:v>2.8</c:v>
                </c:pt>
                <c:pt idx="2">
                  <c:v>1.4</c:v>
                </c:pt>
                <c:pt idx="3">
                  <c:v>2.5</c:v>
                </c:pt>
                <c:pt idx="4">
                  <c:v>18</c:v>
                </c:pt>
                <c:pt idx="5">
                  <c:v>61.7</c:v>
                </c:pt>
                <c:pt idx="6">
                  <c:v>6.3</c:v>
                </c:pt>
                <c:pt idx="7">
                  <c:v>1.9000000000000001</c:v>
                </c:pt>
                <c:pt idx="8">
                  <c:v>0.30000000000000032</c:v>
                </c:pt>
                <c:pt idx="9">
                  <c:v>0.2</c:v>
                </c:pt>
                <c:pt idx="10">
                  <c:v>2.5</c:v>
                </c:pt>
              </c:numCache>
            </c:numRef>
          </c:val>
          <c:smooth val="0"/>
        </c:ser>
        <c:ser>
          <c:idx val="3"/>
          <c:order val="3"/>
          <c:tx>
            <c:v>Actual 2014</c:v>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2.0016012810248202E-3"/>
                  <c:y val="0"/>
                </c:manualLayout>
              </c:layout>
              <c:numFmt formatCode="General" sourceLinked="0"/>
              <c:spPr/>
              <c:txPr>
                <a:bodyPr/>
                <a:lstStyle/>
                <a:p>
                  <a:pPr>
                    <a:defRPr/>
                  </a:pPr>
                  <a:endParaRPr lang="en-US"/>
                </a:p>
              </c:txPr>
              <c:showLegendKey val="1"/>
              <c:showVal val="0"/>
              <c:showCatName val="0"/>
              <c:showSerName val="1"/>
              <c:showPercent val="0"/>
              <c:showBubbleSize val="0"/>
              <c:extLst>
                <c:ext xmlns:c15="http://schemas.microsoft.com/office/drawing/2012/chart" uri="{CE6537A1-D6FC-4f65-9D91-7224C49458BB}">
                  <c15:spPr xmlns:c15="http://schemas.microsoft.com/office/drawing/2012/chart">
                    <a:prstGeom prst="wedgeRectCallout">
                      <a:avLst/>
                    </a:prstGeom>
                  </c15:spPr>
                </c:ext>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numFmt formatCode="General" sourceLinked="0"/>
            <c:showLegendKey val="1"/>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Feuil1!$A$1:$A$11</c:f>
              <c:strCache>
                <c:ptCount val="11"/>
                <c:pt idx="0">
                  <c:v>0-20</c:v>
                </c:pt>
                <c:pt idx="1">
                  <c:v>20-24</c:v>
                </c:pt>
                <c:pt idx="2">
                  <c:v>25-29</c:v>
                </c:pt>
                <c:pt idx="3">
                  <c:v>30-34</c:v>
                </c:pt>
                <c:pt idx="4">
                  <c:v>35-39</c:v>
                </c:pt>
                <c:pt idx="5">
                  <c:v>40-44</c:v>
                </c:pt>
                <c:pt idx="6">
                  <c:v>45-49</c:v>
                </c:pt>
                <c:pt idx="7">
                  <c:v>50-59</c:v>
                </c:pt>
                <c:pt idx="8">
                  <c:v>60-69</c:v>
                </c:pt>
                <c:pt idx="9">
                  <c:v>70-79</c:v>
                </c:pt>
                <c:pt idx="10">
                  <c:v>80+</c:v>
                </c:pt>
              </c:strCache>
            </c:strRef>
          </c:cat>
          <c:val>
            <c:numRef>
              <c:f>Feuil1!$E$1:$E$11</c:f>
              <c:numCache>
                <c:formatCode>General</c:formatCode>
                <c:ptCount val="11"/>
                <c:pt idx="0">
                  <c:v>2.2000000000000002</c:v>
                </c:pt>
                <c:pt idx="1">
                  <c:v>1.4</c:v>
                </c:pt>
                <c:pt idx="2">
                  <c:v>2.2999999999999998</c:v>
                </c:pt>
                <c:pt idx="3">
                  <c:v>3.6</c:v>
                </c:pt>
                <c:pt idx="4">
                  <c:v>13.8</c:v>
                </c:pt>
                <c:pt idx="5">
                  <c:v>42.8</c:v>
                </c:pt>
                <c:pt idx="6">
                  <c:v>21.1</c:v>
                </c:pt>
                <c:pt idx="7">
                  <c:v>7.7</c:v>
                </c:pt>
                <c:pt idx="8">
                  <c:v>2.2000000000000002</c:v>
                </c:pt>
                <c:pt idx="9">
                  <c:v>0.30000000000000032</c:v>
                </c:pt>
                <c:pt idx="10">
                  <c:v>2.6</c:v>
                </c:pt>
              </c:numCache>
            </c:numRef>
          </c:val>
          <c:smooth val="0"/>
        </c:ser>
        <c:dLbls>
          <c:showLegendKey val="0"/>
          <c:showVal val="0"/>
          <c:showCatName val="0"/>
          <c:showSerName val="0"/>
          <c:showPercent val="0"/>
          <c:showBubbleSize val="0"/>
        </c:dLbls>
        <c:marker val="1"/>
        <c:smooth val="0"/>
        <c:axId val="262455296"/>
        <c:axId val="262457600"/>
      </c:lineChart>
      <c:catAx>
        <c:axId val="262455296"/>
        <c:scaling>
          <c:orientation val="minMax"/>
        </c:scaling>
        <c:delete val="0"/>
        <c:axPos val="b"/>
        <c:title>
          <c:tx>
            <c:rich>
              <a:bodyPr/>
              <a:lstStyle/>
              <a:p>
                <a:pPr>
                  <a:defRPr/>
                </a:pPr>
                <a:r>
                  <a:rPr lang="fr-CA"/>
                  <a:t>Hours per week</a:t>
                </a:r>
              </a:p>
            </c:rich>
          </c:tx>
          <c:overlay val="0"/>
        </c:title>
        <c:numFmt formatCode="General" sourceLinked="0"/>
        <c:majorTickMark val="none"/>
        <c:minorTickMark val="none"/>
        <c:tickLblPos val="nextTo"/>
        <c:crossAx val="262457600"/>
        <c:crosses val="autoZero"/>
        <c:auto val="1"/>
        <c:lblAlgn val="ctr"/>
        <c:lblOffset val="100"/>
        <c:noMultiLvlLbl val="0"/>
      </c:catAx>
      <c:valAx>
        <c:axId val="262457600"/>
        <c:scaling>
          <c:orientation val="minMax"/>
        </c:scaling>
        <c:delete val="0"/>
        <c:axPos val="l"/>
        <c:majorGridlines/>
        <c:title>
          <c:tx>
            <c:rich>
              <a:bodyPr/>
              <a:lstStyle/>
              <a:p>
                <a:pPr>
                  <a:defRPr/>
                </a:pPr>
                <a:r>
                  <a:rPr lang="fr-CA"/>
                  <a:t>% of respondents</a:t>
                </a:r>
              </a:p>
            </c:rich>
          </c:tx>
          <c:overlay val="0"/>
        </c:title>
        <c:numFmt formatCode="General" sourceLinked="1"/>
        <c:majorTickMark val="out"/>
        <c:minorTickMark val="none"/>
        <c:tickLblPos val="nextTo"/>
        <c:crossAx val="2624552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2009</c:v>
          </c:tx>
          <c:invertIfNegative val="0"/>
          <c:dLbls>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Feuil1!$A$1:$A$6</c:f>
              <c:strCache>
                <c:ptCount val="6"/>
                <c:pt idx="0">
                  <c:v>What others call crunch, we call daily work schedules</c:v>
                </c:pt>
                <c:pt idx="1">
                  <c:v>Crunch is a part of our regular schedule and I don’t mind</c:v>
                </c:pt>
                <c:pt idx="2">
                  <c:v>We don’t have crunch time; our schedules allow us to get things done without it</c:v>
                </c:pt>
                <c:pt idx="3">
                  <c:v>We crunch often, but we view it as a failure in scheduling</c:v>
                </c:pt>
                <c:pt idx="4">
                  <c:v>Crunch is part of our regular schedule and I don’t agree that it should be</c:v>
                </c:pt>
                <c:pt idx="5">
                  <c:v>Very rarely in extraordinary circumstances we have to crunch, but we do everything we can to avoid it</c:v>
                </c:pt>
              </c:strCache>
            </c:strRef>
          </c:cat>
          <c:val>
            <c:numRef>
              <c:f>Feuil1!$B$1:$B$6</c:f>
              <c:numCache>
                <c:formatCode>General</c:formatCode>
                <c:ptCount val="6"/>
                <c:pt idx="0">
                  <c:v>9</c:v>
                </c:pt>
                <c:pt idx="1">
                  <c:v>4</c:v>
                </c:pt>
                <c:pt idx="2">
                  <c:v>7</c:v>
                </c:pt>
                <c:pt idx="3">
                  <c:v>21</c:v>
                </c:pt>
                <c:pt idx="4">
                  <c:v>22</c:v>
                </c:pt>
                <c:pt idx="5">
                  <c:v>37</c:v>
                </c:pt>
              </c:numCache>
            </c:numRef>
          </c:val>
        </c:ser>
        <c:ser>
          <c:idx val="1"/>
          <c:order val="1"/>
          <c:tx>
            <c:v>2014</c:v>
          </c:tx>
          <c:invertIfNegative val="0"/>
          <c:dLbls>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Feuil1!$A$1:$A$6</c:f>
              <c:strCache>
                <c:ptCount val="6"/>
                <c:pt idx="0">
                  <c:v>What others call crunch, we call daily work schedules</c:v>
                </c:pt>
                <c:pt idx="1">
                  <c:v>Crunch is a part of our regular schedule and I don’t mind</c:v>
                </c:pt>
                <c:pt idx="2">
                  <c:v>We don’t have crunch time; our schedules allow us to get things done without it</c:v>
                </c:pt>
                <c:pt idx="3">
                  <c:v>We crunch often, but we view it as a failure in scheduling</c:v>
                </c:pt>
                <c:pt idx="4">
                  <c:v>Crunch is part of our regular schedule and I don’t agree that it should be</c:v>
                </c:pt>
                <c:pt idx="5">
                  <c:v>Very rarely in extraordinary circumstances we have to crunch, but we do everything we can to avoid it</c:v>
                </c:pt>
              </c:strCache>
            </c:strRef>
          </c:cat>
          <c:val>
            <c:numRef>
              <c:f>Feuil1!$C$1:$C$6</c:f>
              <c:numCache>
                <c:formatCode>General</c:formatCode>
                <c:ptCount val="6"/>
                <c:pt idx="0">
                  <c:v>3</c:v>
                </c:pt>
                <c:pt idx="1">
                  <c:v>6</c:v>
                </c:pt>
                <c:pt idx="2">
                  <c:v>8</c:v>
                </c:pt>
                <c:pt idx="3">
                  <c:v>15</c:v>
                </c:pt>
                <c:pt idx="4">
                  <c:v>24</c:v>
                </c:pt>
                <c:pt idx="5">
                  <c:v>44</c:v>
                </c:pt>
              </c:numCache>
            </c:numRef>
          </c:val>
        </c:ser>
        <c:dLbls>
          <c:showLegendKey val="0"/>
          <c:showVal val="1"/>
          <c:showCatName val="0"/>
          <c:showSerName val="0"/>
          <c:showPercent val="0"/>
          <c:showBubbleSize val="0"/>
        </c:dLbls>
        <c:gapWidth val="182"/>
        <c:axId val="147602816"/>
        <c:axId val="148518016"/>
      </c:barChart>
      <c:catAx>
        <c:axId val="147602816"/>
        <c:scaling>
          <c:orientation val="minMax"/>
        </c:scaling>
        <c:delete val="0"/>
        <c:axPos val="l"/>
        <c:numFmt formatCode="General" sourceLinked="1"/>
        <c:majorTickMark val="none"/>
        <c:minorTickMark val="none"/>
        <c:tickLblPos val="nextTo"/>
        <c:txPr>
          <a:bodyPr rot="-60000000" vert="horz"/>
          <a:lstStyle/>
          <a:p>
            <a:pPr>
              <a:defRPr sz="900"/>
            </a:pPr>
            <a:endParaRPr lang="en-US"/>
          </a:p>
        </c:txPr>
        <c:crossAx val="148518016"/>
        <c:crosses val="autoZero"/>
        <c:auto val="1"/>
        <c:lblAlgn val="ctr"/>
        <c:lblOffset val="100"/>
        <c:noMultiLvlLbl val="0"/>
      </c:catAx>
      <c:valAx>
        <c:axId val="148518016"/>
        <c:scaling>
          <c:orientation val="minMax"/>
        </c:scaling>
        <c:delete val="0"/>
        <c:axPos val="b"/>
        <c:majorGridlines/>
        <c:title>
          <c:tx>
            <c:rich>
              <a:bodyPr rot="0" vert="horz"/>
              <a:lstStyle/>
              <a:p>
                <a:pPr>
                  <a:defRPr/>
                </a:pPr>
                <a:r>
                  <a:rPr lang="fr-CA"/>
                  <a:t>% of respondents</a:t>
                </a:r>
              </a:p>
            </c:rich>
          </c:tx>
          <c:overlay val="0"/>
        </c:title>
        <c:numFmt formatCode="General" sourceLinked="1"/>
        <c:majorTickMark val="none"/>
        <c:minorTickMark val="none"/>
        <c:tickLblPos val="nextTo"/>
        <c:txPr>
          <a:bodyPr rot="-60000000" vert="horz"/>
          <a:lstStyle/>
          <a:p>
            <a:pPr>
              <a:defRPr/>
            </a:pPr>
            <a:endParaRPr lang="en-US"/>
          </a:p>
        </c:txPr>
        <c:crossAx val="147602816"/>
        <c:crosses val="autoZero"/>
        <c:crossBetween val="between"/>
      </c:valAx>
    </c:plotArea>
    <c:legend>
      <c:legendPos val="b"/>
      <c:overlay val="0"/>
      <c:txPr>
        <a:bodyPr rot="0" vert="horz"/>
        <a:lstStyle/>
        <a:p>
          <a:pPr>
            <a:defRPr/>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dPt>
            <c:idx val="0"/>
            <c:bubble3D val="0"/>
          </c:dPt>
          <c:dPt>
            <c:idx val="1"/>
            <c:bubble3D val="0"/>
          </c:dPt>
          <c:dPt>
            <c:idx val="2"/>
            <c:bubble3D val="0"/>
          </c:dPt>
          <c:dPt>
            <c:idx val="3"/>
            <c:bubble3D val="0"/>
          </c:dPt>
          <c:dLbls>
            <c:dLbl>
              <c:idx val="0"/>
              <c:tx>
                <c:rich>
                  <a:bodyPr/>
                  <a:lstStyle/>
                  <a:p>
                    <a:r>
                      <a:rPr lang="en-US"/>
                      <a:t>No
21%</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7.6605530920040174E-2"/>
                  <c:y val="-3.649692282839237E-2"/>
                </c:manualLayout>
              </c:layout>
              <c:tx>
                <c:rich>
                  <a:bodyPr/>
                  <a:lstStyle/>
                  <a:p>
                    <a:r>
                      <a:rPr lang="en-US"/>
                      <a:t>Once
19%</a:t>
                    </a: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9.4277439328872698E-3"/>
                  <c:y val="-0.10188616810059552"/>
                </c:manualLayout>
              </c:layout>
              <c:tx>
                <c:rich>
                  <a:bodyPr/>
                  <a:lstStyle/>
                  <a:p>
                    <a:r>
                      <a:rPr lang="en-US">
                        <a:solidFill>
                          <a:schemeClr val="tx1"/>
                        </a:solidFill>
                      </a:rPr>
                      <a:t>Twice
19%</a:t>
                    </a:r>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en-US"/>
                      <a:t>More than twice
42%</a:t>
                    </a:r>
                  </a:p>
                </c:rich>
              </c:tx>
              <c:showLegendKey val="0"/>
              <c:showVal val="0"/>
              <c:showCatName val="1"/>
              <c:showSerName val="0"/>
              <c:showPercent val="1"/>
              <c:showBubbleSize val="0"/>
              <c:extLst>
                <c:ext xmlns:c15="http://schemas.microsoft.com/office/drawing/2012/chart" uri="{CE6537A1-D6FC-4f65-9D91-7224C49458BB}"/>
              </c:extLst>
            </c:dLbl>
            <c:showLegendKey val="0"/>
            <c:showVal val="0"/>
            <c:showCatName val="1"/>
            <c:showSerName val="0"/>
            <c:showPercent val="1"/>
            <c:showBubbleSize val="0"/>
            <c:showLeaderLines val="1"/>
            <c:extLst>
              <c:ext xmlns:c15="http://schemas.microsoft.com/office/drawing/2012/chart" uri="{CE6537A1-D6FC-4f65-9D91-7224C49458BB}"/>
            </c:extLst>
          </c:dLbls>
          <c:cat>
            <c:strRef>
              <c:f>Feuil1!$A$32:$A$35</c:f>
              <c:strCache>
                <c:ptCount val="4"/>
                <c:pt idx="0">
                  <c:v>No</c:v>
                </c:pt>
                <c:pt idx="1">
                  <c:v>Once</c:v>
                </c:pt>
                <c:pt idx="2">
                  <c:v>Twice</c:v>
                </c:pt>
                <c:pt idx="3">
                  <c:v>More than twice</c:v>
                </c:pt>
              </c:strCache>
            </c:strRef>
          </c:cat>
          <c:val>
            <c:numRef>
              <c:f>Feuil1!$B$32:$B$35</c:f>
              <c:numCache>
                <c:formatCode>General</c:formatCode>
                <c:ptCount val="4"/>
                <c:pt idx="0">
                  <c:v>20.5</c:v>
                </c:pt>
                <c:pt idx="1">
                  <c:v>18.5</c:v>
                </c:pt>
                <c:pt idx="2">
                  <c:v>18.8</c:v>
                </c:pt>
                <c:pt idx="3">
                  <c:v>42.1</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dPt>
            <c:idx val="0"/>
            <c:bubble3D val="0"/>
          </c:dPt>
          <c:dPt>
            <c:idx val="1"/>
            <c:bubble3D val="0"/>
          </c:dPt>
          <c:dPt>
            <c:idx val="2"/>
            <c:bubble3D val="0"/>
          </c:dPt>
          <c:dLbls>
            <c:dLbl>
              <c:idx val="0"/>
              <c:layout>
                <c:manualLayout>
                  <c:x val="-0.18688706449158171"/>
                  <c:y val="-5.6753029910717845E-2"/>
                </c:manualLayout>
              </c:layout>
              <c:tx>
                <c:rich>
                  <a:bodyPr/>
                  <a:lstStyle/>
                  <a:p>
                    <a:r>
                      <a:rPr lang="en-US">
                        <a:solidFill>
                          <a:schemeClr val="bg1"/>
                        </a:solidFill>
                      </a:rPr>
                      <a:t>Yes</a:t>
                    </a:r>
                  </a:p>
                  <a:p>
                    <a:r>
                      <a:rPr lang="en-US" baseline="0">
                        <a:solidFill>
                          <a:schemeClr val="bg1"/>
                        </a:solidFill>
                      </a:rPr>
                      <a:t> 54%</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1"/>
              <c:layout>
                <c:manualLayout>
                  <c:x val="9.844996480755451E-2"/>
                  <c:y val="-3.6727842910624003E-2"/>
                </c:manualLayout>
              </c:layout>
              <c:tx>
                <c:rich>
                  <a:bodyPr/>
                  <a:lstStyle/>
                  <a:p>
                    <a:r>
                      <a:rPr lang="en-US"/>
                      <a:t>No</a:t>
                    </a:r>
                    <a:r>
                      <a:rPr lang="en-US" baseline="0"/>
                      <a:t> </a:t>
                    </a:r>
                  </a:p>
                  <a:p>
                    <a:r>
                      <a:rPr lang="en-US" baseline="0"/>
                      <a:t>35%</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Lst>
            </c:dLbl>
            <c:dLbl>
              <c:idx val="2"/>
              <c:layout>
                <c:manualLayout>
                  <c:x val="8.2011701662292186E-2"/>
                  <c:y val="0.14684346748323207"/>
                </c:manualLayout>
              </c:layout>
              <c:tx>
                <c:rich>
                  <a:bodyPr/>
                  <a:lstStyle/>
                  <a:p>
                    <a:r>
                      <a:rPr lang="en-US"/>
                      <a:t>Not sure </a:t>
                    </a:r>
                  </a:p>
                  <a:p>
                    <a:r>
                      <a:rPr lang="en-US"/>
                      <a:t>11%</a:t>
                    </a:r>
                  </a:p>
                </c:rich>
              </c:tx>
              <c:showLegendKey val="0"/>
              <c:showVal val="1"/>
              <c:showCatName val="1"/>
              <c:showSerName val="0"/>
              <c:showPercent val="0"/>
              <c:showBubbleSize val="0"/>
              <c:extLst>
                <c:ext xmlns:c15="http://schemas.microsoft.com/office/drawing/2012/chart" uri="{CE6537A1-D6FC-4f65-9D91-7224C49458BB}">
                  <c15:layout>
                    <c:manualLayout>
                      <c:w val="0.13508333333333331"/>
                      <c:h val="0.12030110819480898"/>
                    </c:manualLayout>
                  </c15:layout>
                  <c15:dlblFieldTable/>
                  <c15:showDataLabelsRange val="0"/>
                </c:ext>
              </c:extLst>
            </c:dLbl>
            <c:txPr>
              <a:bodyPr rot="0" vert="horz"/>
              <a:lstStyle/>
              <a:p>
                <a:pPr>
                  <a:defRPr/>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Feuil1!$A$15:$A$17</c:f>
              <c:strCache>
                <c:ptCount val="3"/>
                <c:pt idx="0">
                  <c:v>Yes</c:v>
                </c:pt>
                <c:pt idx="1">
                  <c:v>No</c:v>
                </c:pt>
                <c:pt idx="2">
                  <c:v>Not sure</c:v>
                </c:pt>
              </c:strCache>
            </c:strRef>
          </c:cat>
          <c:val>
            <c:numRef>
              <c:f>Feuil1!$B$15:$B$17</c:f>
              <c:numCache>
                <c:formatCode>General</c:formatCode>
                <c:ptCount val="3"/>
                <c:pt idx="0">
                  <c:v>54.2</c:v>
                </c:pt>
                <c:pt idx="1">
                  <c:v>34.700000000000003</c:v>
                </c:pt>
                <c:pt idx="2">
                  <c:v>11</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Lbls>
            <c:dLbl>
              <c:idx val="1"/>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extLst>
            </c:dLbl>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Feuil1!$A$7:$A$13</c:f>
              <c:strCache>
                <c:ptCount val="7"/>
                <c:pt idx="0">
                  <c:v>Management actively applies a no-crunch policy, like the 40-hour workweek</c:v>
                </c:pt>
                <c:pt idx="1">
                  <c:v>All developers work long hours during crunch, but management doesn't</c:v>
                </c:pt>
                <c:pt idx="2">
                  <c:v>It is possible for an employee to refuse crunch time for personal or family reasons</c:v>
                </c:pt>
                <c:pt idx="3">
                  <c:v>Everyone gets involved, no matter what</c:v>
                </c:pt>
                <c:pt idx="4">
                  <c:v>An employee doesn't have to participate if their own assigned work is completed</c:v>
                </c:pt>
                <c:pt idx="5">
                  <c:v>Management sees crunch time as a necessary evil and tries to minimize its impact on employees</c:v>
                </c:pt>
                <c:pt idx="6">
                  <c:v>Management sees crunch time as a normal part of doing business in the game industry</c:v>
                </c:pt>
              </c:strCache>
            </c:strRef>
          </c:cat>
          <c:val>
            <c:numRef>
              <c:f>Feuil1!$B$7:$B$13</c:f>
              <c:numCache>
                <c:formatCode>General</c:formatCode>
                <c:ptCount val="7"/>
                <c:pt idx="0">
                  <c:v>1</c:v>
                </c:pt>
                <c:pt idx="1">
                  <c:v>8.4</c:v>
                </c:pt>
                <c:pt idx="2">
                  <c:v>14.5</c:v>
                </c:pt>
                <c:pt idx="3">
                  <c:v>15.3</c:v>
                </c:pt>
                <c:pt idx="4">
                  <c:v>16.3</c:v>
                </c:pt>
                <c:pt idx="5">
                  <c:v>18.7</c:v>
                </c:pt>
                <c:pt idx="6">
                  <c:v>25.8</c:v>
                </c:pt>
              </c:numCache>
            </c:numRef>
          </c:val>
        </c:ser>
        <c:dLbls>
          <c:showLegendKey val="0"/>
          <c:showVal val="0"/>
          <c:showCatName val="0"/>
          <c:showSerName val="0"/>
          <c:showPercent val="0"/>
          <c:showBubbleSize val="0"/>
        </c:dLbls>
        <c:gapWidth val="182"/>
        <c:axId val="186559488"/>
        <c:axId val="186561280"/>
      </c:barChart>
      <c:catAx>
        <c:axId val="186559488"/>
        <c:scaling>
          <c:orientation val="minMax"/>
        </c:scaling>
        <c:delete val="0"/>
        <c:axPos val="l"/>
        <c:numFmt formatCode="General" sourceLinked="1"/>
        <c:majorTickMark val="none"/>
        <c:minorTickMark val="none"/>
        <c:tickLblPos val="nextTo"/>
        <c:txPr>
          <a:bodyPr rot="-60000000" vert="horz"/>
          <a:lstStyle/>
          <a:p>
            <a:pPr>
              <a:defRPr/>
            </a:pPr>
            <a:endParaRPr lang="en-US"/>
          </a:p>
        </c:txPr>
        <c:crossAx val="186561280"/>
        <c:crosses val="autoZero"/>
        <c:auto val="1"/>
        <c:lblAlgn val="ctr"/>
        <c:lblOffset val="100"/>
        <c:noMultiLvlLbl val="0"/>
      </c:catAx>
      <c:valAx>
        <c:axId val="186561280"/>
        <c:scaling>
          <c:orientation val="minMax"/>
        </c:scaling>
        <c:delete val="0"/>
        <c:axPos val="b"/>
        <c:majorGridlines/>
        <c:title>
          <c:tx>
            <c:rich>
              <a:bodyPr rot="0" vert="horz"/>
              <a:lstStyle/>
              <a:p>
                <a:pPr>
                  <a:defRPr/>
                </a:pPr>
                <a:r>
                  <a:rPr lang="fr-CA"/>
                  <a:t>% of respondents</a:t>
                </a:r>
              </a:p>
            </c:rich>
          </c:tx>
          <c:layout>
            <c:manualLayout>
              <c:xMode val="edge"/>
              <c:yMode val="edge"/>
              <c:x val="0.65180661165210485"/>
              <c:y val="0.90612631761694618"/>
            </c:manualLayout>
          </c:layout>
          <c:overlay val="0"/>
        </c:title>
        <c:numFmt formatCode="General" sourceLinked="1"/>
        <c:majorTickMark val="none"/>
        <c:minorTickMark val="none"/>
        <c:tickLblPos val="nextTo"/>
        <c:txPr>
          <a:bodyPr rot="-60000000" vert="horz"/>
          <a:lstStyle/>
          <a:p>
            <a:pPr>
              <a:defRPr/>
            </a:pPr>
            <a:endParaRPr lang="en-US"/>
          </a:p>
        </c:txPr>
        <c:crossAx val="18655948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49637900299976"/>
          <c:y val="3.837646173783997E-2"/>
          <c:w val="0.86140251218597674"/>
          <c:h val="0.79771677603241742"/>
        </c:manualLayout>
      </c:layout>
      <c:lineChart>
        <c:grouping val="standard"/>
        <c:varyColors val="0"/>
        <c:ser>
          <c:idx val="0"/>
          <c:order val="0"/>
          <c:tx>
            <c:v>Actual 2004</c:v>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1.7711305716815975E-2"/>
                  <c:y val="0"/>
                </c:manualLayout>
              </c:layout>
              <c:tx>
                <c:rich>
                  <a:bodyPr/>
                  <a:lstStyle/>
                  <a:p>
                    <a:r>
                      <a:rPr lang="en-US"/>
                      <a:t>2004</a:t>
                    </a:r>
                  </a:p>
                </c:rich>
              </c:tx>
              <c:showLegendKey val="1"/>
              <c:showVal val="0"/>
              <c:showCatName val="0"/>
              <c:showSerName val="1"/>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txPr>
              <a:bodyPr rot="0" vert="horz"/>
              <a:lstStyle/>
              <a:p>
                <a:pPr>
                  <a:defRPr/>
                </a:pPr>
                <a:endParaRPr lang="en-US"/>
              </a:p>
            </c:txPr>
            <c:showLegendKey val="1"/>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Feuil1!$A$31:$A$37</c:f>
              <c:strCache>
                <c:ptCount val="7"/>
                <c:pt idx="0">
                  <c:v>&lt;34</c:v>
                </c:pt>
                <c:pt idx="1">
                  <c:v>35-44</c:v>
                </c:pt>
                <c:pt idx="2">
                  <c:v>45-49</c:v>
                </c:pt>
                <c:pt idx="3">
                  <c:v>50-59</c:v>
                </c:pt>
                <c:pt idx="4">
                  <c:v>60-69</c:v>
                </c:pt>
                <c:pt idx="5">
                  <c:v>70-79</c:v>
                </c:pt>
                <c:pt idx="6">
                  <c:v>80+</c:v>
                </c:pt>
              </c:strCache>
            </c:strRef>
          </c:cat>
          <c:val>
            <c:numRef>
              <c:f>Feuil1!$B$31:$B$37</c:f>
              <c:numCache>
                <c:formatCode>General</c:formatCode>
                <c:ptCount val="7"/>
                <c:pt idx="0">
                  <c:v>0.4</c:v>
                </c:pt>
                <c:pt idx="1">
                  <c:v>3.3</c:v>
                </c:pt>
                <c:pt idx="2">
                  <c:v>6.3</c:v>
                </c:pt>
                <c:pt idx="3">
                  <c:v>22.5</c:v>
                </c:pt>
                <c:pt idx="4">
                  <c:v>28.6</c:v>
                </c:pt>
                <c:pt idx="5">
                  <c:v>24.6</c:v>
                </c:pt>
                <c:pt idx="6">
                  <c:v>14</c:v>
                </c:pt>
              </c:numCache>
            </c:numRef>
          </c:val>
          <c:smooth val="0"/>
        </c:ser>
        <c:ser>
          <c:idx val="1"/>
          <c:order val="1"/>
          <c:tx>
            <c:v>Actual 2009</c:v>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layout>
                <c:manualLayout>
                  <c:x val="0.11772773612430625"/>
                  <c:y val="1.8202541977820806E-2"/>
                </c:manualLayout>
              </c:layout>
              <c:tx>
                <c:rich>
                  <a:bodyPr/>
                  <a:lstStyle/>
                  <a:p>
                    <a:r>
                      <a:rPr lang="en-US"/>
                      <a:t>2009</a:t>
                    </a:r>
                  </a:p>
                </c:rich>
              </c:tx>
              <c:showLegendKey val="1"/>
              <c:showVal val="0"/>
              <c:showCatName val="0"/>
              <c:showSerName val="1"/>
              <c:showPercent val="0"/>
              <c:showBubbleSize val="0"/>
              <c:extLst>
                <c:ext xmlns:c15="http://schemas.microsoft.com/office/drawing/2012/chart" uri="{CE6537A1-D6FC-4f65-9D91-7224C49458BB}">
                  <c15:spPr xmlns:c15="http://schemas.microsoft.com/office/drawing/2012/chart">
                    <a:prstGeom prst="wedgeRectCallout">
                      <a:avLst/>
                    </a:prstGeom>
                  </c15:spPr>
                </c:ext>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txPr>
              <a:bodyPr rot="0" vert="horz"/>
              <a:lstStyle/>
              <a:p>
                <a:pPr>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Feuil1!$A$31:$A$37</c:f>
              <c:strCache>
                <c:ptCount val="7"/>
                <c:pt idx="0">
                  <c:v>&lt;34</c:v>
                </c:pt>
                <c:pt idx="1">
                  <c:v>35-44</c:v>
                </c:pt>
                <c:pt idx="2">
                  <c:v>45-49</c:v>
                </c:pt>
                <c:pt idx="3">
                  <c:v>50-59</c:v>
                </c:pt>
                <c:pt idx="4">
                  <c:v>60-69</c:v>
                </c:pt>
                <c:pt idx="5">
                  <c:v>70-79</c:v>
                </c:pt>
                <c:pt idx="6">
                  <c:v>80+</c:v>
                </c:pt>
              </c:strCache>
            </c:strRef>
          </c:cat>
          <c:val>
            <c:numRef>
              <c:f>Feuil1!$C$31:$C$37</c:f>
              <c:numCache>
                <c:formatCode>General</c:formatCode>
                <c:ptCount val="7"/>
                <c:pt idx="0">
                  <c:v>1.9000000000000001</c:v>
                </c:pt>
                <c:pt idx="1">
                  <c:v>5.9</c:v>
                </c:pt>
                <c:pt idx="2">
                  <c:v>7.5</c:v>
                </c:pt>
                <c:pt idx="3">
                  <c:v>32.200000000000003</c:v>
                </c:pt>
                <c:pt idx="4">
                  <c:v>31.6</c:v>
                </c:pt>
                <c:pt idx="5">
                  <c:v>11.8</c:v>
                </c:pt>
                <c:pt idx="6">
                  <c:v>10.6</c:v>
                </c:pt>
              </c:numCache>
            </c:numRef>
          </c:val>
          <c:smooth val="0"/>
        </c:ser>
        <c:ser>
          <c:idx val="2"/>
          <c:order val="2"/>
          <c:tx>
            <c:v>Actual 2014</c:v>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0.1198680407003636"/>
                  <c:y val="0.20477855900766734"/>
                </c:manualLayout>
              </c:layout>
              <c:tx>
                <c:rich>
                  <a:bodyPr/>
                  <a:lstStyle/>
                  <a:p>
                    <a:r>
                      <a:rPr lang="en-US"/>
                      <a:t>2014</a:t>
                    </a:r>
                  </a:p>
                </c:rich>
              </c:tx>
              <c:showLegendKey val="1"/>
              <c:showVal val="0"/>
              <c:showCatName val="0"/>
              <c:showSerName val="1"/>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txPr>
              <a:bodyPr rot="0" vert="horz"/>
              <a:lstStyle/>
              <a:p>
                <a:pPr>
                  <a:defRPr/>
                </a:pPr>
                <a:endParaRPr lang="en-US"/>
              </a:p>
            </c:txPr>
            <c:showLegendKey val="1"/>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Feuil1!$A$31:$A$37</c:f>
              <c:strCache>
                <c:ptCount val="7"/>
                <c:pt idx="0">
                  <c:v>&lt;34</c:v>
                </c:pt>
                <c:pt idx="1">
                  <c:v>35-44</c:v>
                </c:pt>
                <c:pt idx="2">
                  <c:v>45-49</c:v>
                </c:pt>
                <c:pt idx="3">
                  <c:v>50-59</c:v>
                </c:pt>
                <c:pt idx="4">
                  <c:v>60-69</c:v>
                </c:pt>
                <c:pt idx="5">
                  <c:v>70-79</c:v>
                </c:pt>
                <c:pt idx="6">
                  <c:v>80+</c:v>
                </c:pt>
              </c:strCache>
            </c:strRef>
          </c:cat>
          <c:val>
            <c:numRef>
              <c:f>Feuil1!$D$31:$D$37</c:f>
              <c:numCache>
                <c:formatCode>General</c:formatCode>
                <c:ptCount val="7"/>
                <c:pt idx="0">
                  <c:v>10.5</c:v>
                </c:pt>
                <c:pt idx="1">
                  <c:v>11.4</c:v>
                </c:pt>
                <c:pt idx="2">
                  <c:v>11.7</c:v>
                </c:pt>
                <c:pt idx="3">
                  <c:v>29.1</c:v>
                </c:pt>
                <c:pt idx="4">
                  <c:v>15.8</c:v>
                </c:pt>
                <c:pt idx="5">
                  <c:v>6.3</c:v>
                </c:pt>
                <c:pt idx="6">
                  <c:v>13.7</c:v>
                </c:pt>
              </c:numCache>
            </c:numRef>
          </c:val>
          <c:smooth val="0"/>
        </c:ser>
        <c:dLbls>
          <c:showLegendKey val="0"/>
          <c:showVal val="0"/>
          <c:showCatName val="0"/>
          <c:showSerName val="0"/>
          <c:showPercent val="0"/>
          <c:showBubbleSize val="0"/>
        </c:dLbls>
        <c:marker val="1"/>
        <c:smooth val="0"/>
        <c:axId val="187480320"/>
        <c:axId val="210649472"/>
      </c:lineChart>
      <c:catAx>
        <c:axId val="187480320"/>
        <c:scaling>
          <c:orientation val="minMax"/>
        </c:scaling>
        <c:delete val="0"/>
        <c:axPos val="b"/>
        <c:title>
          <c:tx>
            <c:rich>
              <a:bodyPr rot="0" vert="horz"/>
              <a:lstStyle/>
              <a:p>
                <a:pPr>
                  <a:defRPr/>
                </a:pPr>
                <a:r>
                  <a:rPr lang="fr-CA"/>
                  <a:t>Hours per week</a:t>
                </a:r>
              </a:p>
            </c:rich>
          </c:tx>
          <c:layout>
            <c:manualLayout>
              <c:xMode val="edge"/>
              <c:yMode val="edge"/>
              <c:x val="0.44292679237586818"/>
              <c:y val="0.94658975575642856"/>
            </c:manualLayout>
          </c:layout>
          <c:overlay val="0"/>
        </c:title>
        <c:numFmt formatCode="General" sourceLinked="1"/>
        <c:majorTickMark val="none"/>
        <c:minorTickMark val="none"/>
        <c:tickLblPos val="nextTo"/>
        <c:txPr>
          <a:bodyPr rot="-60000000" vert="horz"/>
          <a:lstStyle/>
          <a:p>
            <a:pPr>
              <a:defRPr/>
            </a:pPr>
            <a:endParaRPr lang="en-US"/>
          </a:p>
        </c:txPr>
        <c:crossAx val="210649472"/>
        <c:crosses val="autoZero"/>
        <c:auto val="1"/>
        <c:lblAlgn val="ctr"/>
        <c:lblOffset val="100"/>
        <c:noMultiLvlLbl val="0"/>
      </c:catAx>
      <c:valAx>
        <c:axId val="210649472"/>
        <c:scaling>
          <c:orientation val="minMax"/>
        </c:scaling>
        <c:delete val="0"/>
        <c:axPos val="l"/>
        <c:majorGridlines/>
        <c:title>
          <c:tx>
            <c:rich>
              <a:bodyPr rot="-5400000" vert="horz"/>
              <a:lstStyle/>
              <a:p>
                <a:pPr>
                  <a:defRPr/>
                </a:pPr>
                <a:r>
                  <a:rPr lang="fr-CA"/>
                  <a:t>% of respondents</a:t>
                </a:r>
              </a:p>
            </c:rich>
          </c:tx>
          <c:overlay val="0"/>
        </c:title>
        <c:numFmt formatCode="General" sourceLinked="1"/>
        <c:majorTickMark val="none"/>
        <c:minorTickMark val="none"/>
        <c:tickLblPos val="nextTo"/>
        <c:txPr>
          <a:bodyPr rot="-60000000" vert="horz"/>
          <a:lstStyle/>
          <a:p>
            <a:pPr>
              <a:defRPr/>
            </a:pPr>
            <a:endParaRPr lang="en-US"/>
          </a:p>
        </c:txPr>
        <c:crossAx val="187480320"/>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38139986283661"/>
          <c:y val="4.9228708798162713E-2"/>
          <c:w val="0.86138403571356137"/>
          <c:h val="0.78124238350472264"/>
        </c:manualLayout>
      </c:layout>
      <c:lineChart>
        <c:grouping val="standard"/>
        <c:varyColors val="0"/>
        <c:ser>
          <c:idx val="0"/>
          <c:order val="0"/>
          <c:tx>
            <c:v>Expected 2009</c:v>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txPr>
              <a:bodyPr rot="0" vert="horz"/>
              <a:lstStyle/>
              <a:p>
                <a:pPr>
                  <a:defRPr/>
                </a:pPr>
                <a:endParaRPr lang="en-US"/>
              </a:p>
            </c:txPr>
            <c:showLegendKey val="1"/>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Feuil1!$A$19:$A$28</c:f>
              <c:strCache>
                <c:ptCount val="10"/>
                <c:pt idx="0">
                  <c:v>&lt;20</c:v>
                </c:pt>
                <c:pt idx="1">
                  <c:v>20-29</c:v>
                </c:pt>
                <c:pt idx="2">
                  <c:v>30-34</c:v>
                </c:pt>
                <c:pt idx="3">
                  <c:v>35-39</c:v>
                </c:pt>
                <c:pt idx="4">
                  <c:v>40-44</c:v>
                </c:pt>
                <c:pt idx="5">
                  <c:v>45-49</c:v>
                </c:pt>
                <c:pt idx="6">
                  <c:v>50-59</c:v>
                </c:pt>
                <c:pt idx="7">
                  <c:v>60-69</c:v>
                </c:pt>
                <c:pt idx="8">
                  <c:v>70-79</c:v>
                </c:pt>
                <c:pt idx="9">
                  <c:v>80+</c:v>
                </c:pt>
              </c:strCache>
            </c:strRef>
          </c:cat>
          <c:val>
            <c:numRef>
              <c:f>Feuil1!$B$19:$B$28</c:f>
              <c:numCache>
                <c:formatCode>General</c:formatCode>
                <c:ptCount val="10"/>
                <c:pt idx="0">
                  <c:v>1.3</c:v>
                </c:pt>
                <c:pt idx="1">
                  <c:v>0.30000000000000032</c:v>
                </c:pt>
                <c:pt idx="2">
                  <c:v>0.5</c:v>
                </c:pt>
                <c:pt idx="3">
                  <c:v>0.70000000000000062</c:v>
                </c:pt>
                <c:pt idx="4">
                  <c:v>8.5</c:v>
                </c:pt>
                <c:pt idx="5">
                  <c:v>6.6</c:v>
                </c:pt>
                <c:pt idx="6">
                  <c:v>34.9</c:v>
                </c:pt>
                <c:pt idx="7">
                  <c:v>34.1</c:v>
                </c:pt>
                <c:pt idx="8">
                  <c:v>6.8</c:v>
                </c:pt>
                <c:pt idx="9">
                  <c:v>6.8</c:v>
                </c:pt>
              </c:numCache>
            </c:numRef>
          </c:val>
          <c:smooth val="0"/>
        </c:ser>
        <c:ser>
          <c:idx val="1"/>
          <c:order val="1"/>
          <c:tx>
            <c:v>Actual 2009</c:v>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txPr>
              <a:bodyPr rot="0" vert="horz"/>
              <a:lstStyle/>
              <a:p>
                <a:pPr>
                  <a:defRPr/>
                </a:pPr>
                <a:endParaRPr lang="en-US"/>
              </a:p>
            </c:txPr>
            <c:showLegendKey val="1"/>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Feuil1!$A$19:$A$28</c:f>
              <c:strCache>
                <c:ptCount val="10"/>
                <c:pt idx="0">
                  <c:v>&lt;20</c:v>
                </c:pt>
                <c:pt idx="1">
                  <c:v>20-29</c:v>
                </c:pt>
                <c:pt idx="2">
                  <c:v>30-34</c:v>
                </c:pt>
                <c:pt idx="3">
                  <c:v>35-39</c:v>
                </c:pt>
                <c:pt idx="4">
                  <c:v>40-44</c:v>
                </c:pt>
                <c:pt idx="5">
                  <c:v>45-49</c:v>
                </c:pt>
                <c:pt idx="6">
                  <c:v>50-59</c:v>
                </c:pt>
                <c:pt idx="7">
                  <c:v>60-69</c:v>
                </c:pt>
                <c:pt idx="8">
                  <c:v>70-79</c:v>
                </c:pt>
                <c:pt idx="9">
                  <c:v>80+</c:v>
                </c:pt>
              </c:strCache>
            </c:strRef>
          </c:cat>
          <c:val>
            <c:numRef>
              <c:f>Feuil1!$C$19:$C$28</c:f>
              <c:numCache>
                <c:formatCode>General</c:formatCode>
                <c:ptCount val="10"/>
                <c:pt idx="0">
                  <c:v>1.1000000000000001</c:v>
                </c:pt>
                <c:pt idx="1">
                  <c:v>0.30000000000000032</c:v>
                </c:pt>
                <c:pt idx="2">
                  <c:v>0.5</c:v>
                </c:pt>
                <c:pt idx="3">
                  <c:v>0.70000000000000062</c:v>
                </c:pt>
                <c:pt idx="4">
                  <c:v>5.2</c:v>
                </c:pt>
                <c:pt idx="5">
                  <c:v>7.5</c:v>
                </c:pt>
                <c:pt idx="6">
                  <c:v>32.200000000000003</c:v>
                </c:pt>
                <c:pt idx="7">
                  <c:v>31.6</c:v>
                </c:pt>
                <c:pt idx="8">
                  <c:v>11.8</c:v>
                </c:pt>
                <c:pt idx="9">
                  <c:v>10.6</c:v>
                </c:pt>
              </c:numCache>
            </c:numRef>
          </c:val>
          <c:smooth val="0"/>
        </c:ser>
        <c:ser>
          <c:idx val="2"/>
          <c:order val="2"/>
          <c:tx>
            <c:v>Expected 2014</c:v>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3.7054743157105365E-2"/>
                  <c:y val="5.3287794561070065E-2"/>
                </c:manualLayout>
              </c:layout>
              <c:showLegendKey val="1"/>
              <c:showVal val="0"/>
              <c:showCatName val="0"/>
              <c:showSerName val="1"/>
              <c:showPercent val="0"/>
              <c:showBubbleSize val="0"/>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txPr>
              <a:bodyPr rot="0" vert="horz"/>
              <a:lstStyle/>
              <a:p>
                <a:pPr>
                  <a:defRPr/>
                </a:pPr>
                <a:endParaRPr lang="en-US"/>
              </a:p>
            </c:txPr>
            <c:showLegendKey val="1"/>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Feuil1!$A$19:$A$28</c:f>
              <c:strCache>
                <c:ptCount val="10"/>
                <c:pt idx="0">
                  <c:v>&lt;20</c:v>
                </c:pt>
                <c:pt idx="1">
                  <c:v>20-29</c:v>
                </c:pt>
                <c:pt idx="2">
                  <c:v>30-34</c:v>
                </c:pt>
                <c:pt idx="3">
                  <c:v>35-39</c:v>
                </c:pt>
                <c:pt idx="4">
                  <c:v>40-44</c:v>
                </c:pt>
                <c:pt idx="5">
                  <c:v>45-49</c:v>
                </c:pt>
                <c:pt idx="6">
                  <c:v>50-59</c:v>
                </c:pt>
                <c:pt idx="7">
                  <c:v>60-69</c:v>
                </c:pt>
                <c:pt idx="8">
                  <c:v>70-79</c:v>
                </c:pt>
                <c:pt idx="9">
                  <c:v>80+</c:v>
                </c:pt>
              </c:strCache>
            </c:strRef>
          </c:cat>
          <c:val>
            <c:numRef>
              <c:f>Feuil1!$D$19:$D$28</c:f>
              <c:numCache>
                <c:formatCode>General</c:formatCode>
                <c:ptCount val="10"/>
                <c:pt idx="0">
                  <c:v>8.3000000000000007</c:v>
                </c:pt>
                <c:pt idx="1">
                  <c:v>2.1</c:v>
                </c:pt>
                <c:pt idx="2">
                  <c:v>1.1000000000000001</c:v>
                </c:pt>
                <c:pt idx="3">
                  <c:v>3.1</c:v>
                </c:pt>
                <c:pt idx="4">
                  <c:v>10.200000000000001</c:v>
                </c:pt>
                <c:pt idx="5">
                  <c:v>14.8</c:v>
                </c:pt>
                <c:pt idx="6">
                  <c:v>29.8</c:v>
                </c:pt>
                <c:pt idx="7">
                  <c:v>12.8</c:v>
                </c:pt>
                <c:pt idx="8">
                  <c:v>3</c:v>
                </c:pt>
                <c:pt idx="9">
                  <c:v>14.8</c:v>
                </c:pt>
              </c:numCache>
            </c:numRef>
          </c:val>
          <c:smooth val="0"/>
        </c:ser>
        <c:ser>
          <c:idx val="3"/>
          <c:order val="3"/>
          <c:tx>
            <c:v>Actual 2014</c:v>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layout>
                <c:manualLayout>
                  <c:x val="4.6907199100112484E-2"/>
                  <c:y val="9.5311602383640337E-2"/>
                </c:manualLayout>
              </c:layout>
              <c:showLegendKey val="1"/>
              <c:showVal val="0"/>
              <c:showCatName val="0"/>
              <c:showSerName val="1"/>
              <c:showPercent val="0"/>
              <c:showBubbleSize val="0"/>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txPr>
              <a:bodyPr rot="0" vert="horz"/>
              <a:lstStyle/>
              <a:p>
                <a:pPr>
                  <a:defRPr/>
                </a:pPr>
                <a:endParaRPr lang="en-US"/>
              </a:p>
            </c:txPr>
            <c:showLegendKey val="1"/>
            <c:showVal val="0"/>
            <c:showCatName val="0"/>
            <c:showSerName val="1"/>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Feuil1!$A$19:$A$28</c:f>
              <c:strCache>
                <c:ptCount val="10"/>
                <c:pt idx="0">
                  <c:v>&lt;20</c:v>
                </c:pt>
                <c:pt idx="1">
                  <c:v>20-29</c:v>
                </c:pt>
                <c:pt idx="2">
                  <c:v>30-34</c:v>
                </c:pt>
                <c:pt idx="3">
                  <c:v>35-39</c:v>
                </c:pt>
                <c:pt idx="4">
                  <c:v>40-44</c:v>
                </c:pt>
                <c:pt idx="5">
                  <c:v>45-49</c:v>
                </c:pt>
                <c:pt idx="6">
                  <c:v>50-59</c:v>
                </c:pt>
                <c:pt idx="7">
                  <c:v>60-69</c:v>
                </c:pt>
                <c:pt idx="8">
                  <c:v>70-79</c:v>
                </c:pt>
                <c:pt idx="9">
                  <c:v>80+</c:v>
                </c:pt>
              </c:strCache>
            </c:strRef>
          </c:cat>
          <c:val>
            <c:numRef>
              <c:f>Feuil1!$E$19:$E$28</c:f>
              <c:numCache>
                <c:formatCode>General</c:formatCode>
                <c:ptCount val="10"/>
                <c:pt idx="0">
                  <c:v>8.9</c:v>
                </c:pt>
                <c:pt idx="1">
                  <c:v>1.5</c:v>
                </c:pt>
                <c:pt idx="2">
                  <c:v>1.6</c:v>
                </c:pt>
                <c:pt idx="3">
                  <c:v>2.2999999999999998</c:v>
                </c:pt>
                <c:pt idx="4">
                  <c:v>9.1</c:v>
                </c:pt>
                <c:pt idx="5">
                  <c:v>11.7</c:v>
                </c:pt>
                <c:pt idx="6">
                  <c:v>29.1</c:v>
                </c:pt>
                <c:pt idx="7">
                  <c:v>15.8</c:v>
                </c:pt>
                <c:pt idx="8">
                  <c:v>6.3</c:v>
                </c:pt>
                <c:pt idx="9">
                  <c:v>13.7</c:v>
                </c:pt>
              </c:numCache>
            </c:numRef>
          </c:val>
          <c:smooth val="0"/>
        </c:ser>
        <c:dLbls>
          <c:showLegendKey val="0"/>
          <c:showVal val="0"/>
          <c:showCatName val="0"/>
          <c:showSerName val="0"/>
          <c:showPercent val="0"/>
          <c:showBubbleSize val="0"/>
        </c:dLbls>
        <c:marker val="1"/>
        <c:smooth val="0"/>
        <c:axId val="217342336"/>
        <c:axId val="217344256"/>
      </c:lineChart>
      <c:catAx>
        <c:axId val="217342336"/>
        <c:scaling>
          <c:orientation val="minMax"/>
        </c:scaling>
        <c:delete val="0"/>
        <c:axPos val="b"/>
        <c:title>
          <c:tx>
            <c:rich>
              <a:bodyPr rot="0" vert="horz"/>
              <a:lstStyle/>
              <a:p>
                <a:pPr>
                  <a:defRPr/>
                </a:pPr>
                <a:r>
                  <a:rPr lang="fr-CA"/>
                  <a:t>Hours per week</a:t>
                </a:r>
              </a:p>
            </c:rich>
          </c:tx>
          <c:layout>
            <c:manualLayout>
              <c:xMode val="edge"/>
              <c:yMode val="edge"/>
              <c:x val="0.45793773094999979"/>
              <c:y val="0.93257188749410758"/>
            </c:manualLayout>
          </c:layout>
          <c:overlay val="0"/>
        </c:title>
        <c:numFmt formatCode="General" sourceLinked="1"/>
        <c:majorTickMark val="none"/>
        <c:minorTickMark val="none"/>
        <c:tickLblPos val="nextTo"/>
        <c:txPr>
          <a:bodyPr rot="-60000000" vert="horz"/>
          <a:lstStyle/>
          <a:p>
            <a:pPr>
              <a:defRPr/>
            </a:pPr>
            <a:endParaRPr lang="en-US"/>
          </a:p>
        </c:txPr>
        <c:crossAx val="217344256"/>
        <c:crosses val="autoZero"/>
        <c:auto val="1"/>
        <c:lblAlgn val="ctr"/>
        <c:lblOffset val="100"/>
        <c:noMultiLvlLbl val="0"/>
      </c:catAx>
      <c:valAx>
        <c:axId val="217344256"/>
        <c:scaling>
          <c:orientation val="minMax"/>
        </c:scaling>
        <c:delete val="0"/>
        <c:axPos val="l"/>
        <c:majorGridlines/>
        <c:title>
          <c:tx>
            <c:rich>
              <a:bodyPr rot="-5400000" vert="horz"/>
              <a:lstStyle/>
              <a:p>
                <a:pPr>
                  <a:defRPr/>
                </a:pPr>
                <a:r>
                  <a:rPr lang="fr-CA"/>
                  <a:t>% of respondents</a:t>
                </a:r>
              </a:p>
            </c:rich>
          </c:tx>
          <c:layout>
            <c:manualLayout>
              <c:xMode val="edge"/>
              <c:yMode val="edge"/>
              <c:x val="1.4282313734825042E-2"/>
              <c:y val="0.29983601525646886"/>
            </c:manualLayout>
          </c:layout>
          <c:overlay val="0"/>
        </c:title>
        <c:numFmt formatCode="General" sourceLinked="1"/>
        <c:majorTickMark val="none"/>
        <c:minorTickMark val="none"/>
        <c:tickLblPos val="nextTo"/>
        <c:txPr>
          <a:bodyPr rot="-60000000" vert="horz"/>
          <a:lstStyle/>
          <a:p>
            <a:pPr>
              <a:defRPr/>
            </a:pPr>
            <a:endParaRPr lang="en-US"/>
          </a:p>
        </c:txPr>
        <c:crossAx val="217342336"/>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Feuil1!$B$7</c:f>
              <c:strCache>
                <c:ptCount val="1"/>
                <c:pt idx="0">
                  <c:v>2009</c:v>
                </c:pt>
              </c:strCache>
            </c:strRef>
          </c:tx>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4.3613633995625654E-17"/>
                  <c:y val="-2.9149513593313331E-2"/>
                </c:manualLayout>
              </c:layout>
              <c:showLegendKey val="1"/>
              <c:showVal val="0"/>
              <c:showCatName val="0"/>
              <c:showSerName val="1"/>
              <c:showPercent val="0"/>
              <c:showBubbleSize val="0"/>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txPr>
              <a:bodyPr rot="0" vert="horz"/>
              <a:lstStyle/>
              <a:p>
                <a:pPr>
                  <a:defRPr/>
                </a:pPr>
                <a:endParaRPr lang="en-US"/>
              </a:p>
            </c:txPr>
            <c:showLegendKey val="1"/>
            <c:showVal val="0"/>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Feuil1!$A$8:$A$19</c:f>
              <c:strCache>
                <c:ptCount val="12"/>
                <c:pt idx="0">
                  <c:v>0</c:v>
                </c:pt>
                <c:pt idx="1">
                  <c:v>0.5-4</c:v>
                </c:pt>
                <c:pt idx="2">
                  <c:v>5-9</c:v>
                </c:pt>
                <c:pt idx="3">
                  <c:v>10-14</c:v>
                </c:pt>
                <c:pt idx="4">
                  <c:v>15-19</c:v>
                </c:pt>
                <c:pt idx="5">
                  <c:v>20-24</c:v>
                </c:pt>
                <c:pt idx="6">
                  <c:v>25-29</c:v>
                </c:pt>
                <c:pt idx="7">
                  <c:v>30-34</c:v>
                </c:pt>
                <c:pt idx="8">
                  <c:v>35-39</c:v>
                </c:pt>
                <c:pt idx="9">
                  <c:v>40-44</c:v>
                </c:pt>
                <c:pt idx="10">
                  <c:v>45-49</c:v>
                </c:pt>
                <c:pt idx="11">
                  <c:v>50-52</c:v>
                </c:pt>
              </c:strCache>
            </c:strRef>
          </c:cat>
          <c:val>
            <c:numRef>
              <c:f>Feuil1!$B$8:$B$19</c:f>
              <c:numCache>
                <c:formatCode>General</c:formatCode>
                <c:ptCount val="12"/>
                <c:pt idx="0">
                  <c:v>9</c:v>
                </c:pt>
                <c:pt idx="1">
                  <c:v>25.8</c:v>
                </c:pt>
                <c:pt idx="2">
                  <c:v>25.8</c:v>
                </c:pt>
                <c:pt idx="3">
                  <c:v>18.399999999999999</c:v>
                </c:pt>
                <c:pt idx="4">
                  <c:v>6</c:v>
                </c:pt>
                <c:pt idx="5">
                  <c:v>6.2</c:v>
                </c:pt>
                <c:pt idx="6">
                  <c:v>3.8</c:v>
                </c:pt>
                <c:pt idx="7">
                  <c:v>1.7</c:v>
                </c:pt>
                <c:pt idx="8">
                  <c:v>1.2</c:v>
                </c:pt>
                <c:pt idx="9">
                  <c:v>0.9</c:v>
                </c:pt>
                <c:pt idx="10">
                  <c:v>0.5</c:v>
                </c:pt>
                <c:pt idx="11">
                  <c:v>1.3</c:v>
                </c:pt>
              </c:numCache>
            </c:numRef>
          </c:val>
          <c:smooth val="0"/>
        </c:ser>
        <c:ser>
          <c:idx val="1"/>
          <c:order val="1"/>
          <c:tx>
            <c:strRef>
              <c:f>Feuil1!$C$7</c:f>
              <c:strCache>
                <c:ptCount val="1"/>
                <c:pt idx="0">
                  <c:v>2014</c:v>
                </c:pt>
              </c:strCache>
            </c:strRef>
          </c:tx>
          <c:marker>
            <c:symbol val="none"/>
          </c:marker>
          <c:dLbls>
            <c:dLbl>
              <c:idx val="0"/>
              <c:delete val="1"/>
              <c:extLst>
                <c:ext xmlns:c15="http://schemas.microsoft.com/office/drawing/2012/chart" uri="{CE6537A1-D6FC-4f65-9D91-7224C49458BB}"/>
              </c:extLst>
            </c:dLbl>
            <c:dLbl>
              <c:idx val="1"/>
              <c:layout>
                <c:manualLayout>
                  <c:x val="-1.2289159109066404E-2"/>
                  <c:y val="3.2483184499896699E-2"/>
                </c:manualLayout>
              </c:layout>
              <c:dLblPos val="r"/>
              <c:showLegendKey val="1"/>
              <c:showVal val="0"/>
              <c:showCatName val="0"/>
              <c:showSerName val="1"/>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Feuil1!$A$8:$A$19</c:f>
              <c:strCache>
                <c:ptCount val="12"/>
                <c:pt idx="0">
                  <c:v>0</c:v>
                </c:pt>
                <c:pt idx="1">
                  <c:v>0.5-4</c:v>
                </c:pt>
                <c:pt idx="2">
                  <c:v>5-9</c:v>
                </c:pt>
                <c:pt idx="3">
                  <c:v>10-14</c:v>
                </c:pt>
                <c:pt idx="4">
                  <c:v>15-19</c:v>
                </c:pt>
                <c:pt idx="5">
                  <c:v>20-24</c:v>
                </c:pt>
                <c:pt idx="6">
                  <c:v>25-29</c:v>
                </c:pt>
                <c:pt idx="7">
                  <c:v>30-34</c:v>
                </c:pt>
                <c:pt idx="8">
                  <c:v>35-39</c:v>
                </c:pt>
                <c:pt idx="9">
                  <c:v>40-44</c:v>
                </c:pt>
                <c:pt idx="10">
                  <c:v>45-49</c:v>
                </c:pt>
                <c:pt idx="11">
                  <c:v>50-52</c:v>
                </c:pt>
              </c:strCache>
            </c:strRef>
          </c:cat>
          <c:val>
            <c:numRef>
              <c:f>Feuil1!$C$8:$C$19</c:f>
              <c:numCache>
                <c:formatCode>General</c:formatCode>
                <c:ptCount val="12"/>
                <c:pt idx="0">
                  <c:v>24.8</c:v>
                </c:pt>
                <c:pt idx="1">
                  <c:v>35</c:v>
                </c:pt>
                <c:pt idx="2">
                  <c:v>19</c:v>
                </c:pt>
                <c:pt idx="3">
                  <c:v>11.3</c:v>
                </c:pt>
                <c:pt idx="4">
                  <c:v>3.7</c:v>
                </c:pt>
                <c:pt idx="5">
                  <c:v>3.4</c:v>
                </c:pt>
                <c:pt idx="6">
                  <c:v>1.3</c:v>
                </c:pt>
                <c:pt idx="7">
                  <c:v>0.8</c:v>
                </c:pt>
                <c:pt idx="8">
                  <c:v>0.5</c:v>
                </c:pt>
                <c:pt idx="9">
                  <c:v>0.30000000000000032</c:v>
                </c:pt>
                <c:pt idx="10">
                  <c:v>0.2</c:v>
                </c:pt>
                <c:pt idx="11">
                  <c:v>0.4</c:v>
                </c:pt>
              </c:numCache>
            </c:numRef>
          </c:val>
          <c:smooth val="0"/>
        </c:ser>
        <c:dLbls>
          <c:showLegendKey val="0"/>
          <c:showVal val="0"/>
          <c:showCatName val="0"/>
          <c:showSerName val="0"/>
          <c:showPercent val="0"/>
          <c:showBubbleSize val="0"/>
        </c:dLbls>
        <c:marker val="1"/>
        <c:smooth val="0"/>
        <c:axId val="217374720"/>
        <c:axId val="217376640"/>
      </c:lineChart>
      <c:catAx>
        <c:axId val="217374720"/>
        <c:scaling>
          <c:orientation val="minMax"/>
        </c:scaling>
        <c:delete val="0"/>
        <c:axPos val="b"/>
        <c:title>
          <c:tx>
            <c:rich>
              <a:bodyPr rot="0" vert="horz"/>
              <a:lstStyle/>
              <a:p>
                <a:pPr>
                  <a:defRPr/>
                </a:pPr>
                <a:r>
                  <a:rPr lang="fr-CA"/>
                  <a:t>Weeks per year</a:t>
                </a:r>
              </a:p>
            </c:rich>
          </c:tx>
          <c:overlay val="0"/>
        </c:title>
        <c:numFmt formatCode="General" sourceLinked="1"/>
        <c:majorTickMark val="none"/>
        <c:minorTickMark val="none"/>
        <c:tickLblPos val="nextTo"/>
        <c:txPr>
          <a:bodyPr rot="-60000000" vert="horz"/>
          <a:lstStyle/>
          <a:p>
            <a:pPr>
              <a:defRPr/>
            </a:pPr>
            <a:endParaRPr lang="en-US"/>
          </a:p>
        </c:txPr>
        <c:crossAx val="217376640"/>
        <c:crosses val="autoZero"/>
        <c:auto val="1"/>
        <c:lblAlgn val="ctr"/>
        <c:lblOffset val="100"/>
        <c:noMultiLvlLbl val="0"/>
      </c:catAx>
      <c:valAx>
        <c:axId val="217376640"/>
        <c:scaling>
          <c:orientation val="minMax"/>
        </c:scaling>
        <c:delete val="0"/>
        <c:axPos val="l"/>
        <c:majorGridlines/>
        <c:title>
          <c:tx>
            <c:rich>
              <a:bodyPr rot="-5400000" vert="horz"/>
              <a:lstStyle/>
              <a:p>
                <a:pPr>
                  <a:defRPr/>
                </a:pPr>
                <a:r>
                  <a:rPr lang="fr-CA"/>
                  <a:t>% of respondents</a:t>
                </a:r>
              </a:p>
            </c:rich>
          </c:tx>
          <c:layout>
            <c:manualLayout>
              <c:xMode val="edge"/>
              <c:yMode val="edge"/>
              <c:x val="1.6661600090861008E-2"/>
              <c:y val="0.22967416572928384"/>
            </c:manualLayout>
          </c:layout>
          <c:overlay val="0"/>
        </c:title>
        <c:numFmt formatCode="General" sourceLinked="1"/>
        <c:majorTickMark val="none"/>
        <c:minorTickMark val="none"/>
        <c:tickLblPos val="nextTo"/>
        <c:txPr>
          <a:bodyPr rot="-60000000" vert="horz"/>
          <a:lstStyle/>
          <a:p>
            <a:pPr>
              <a:defRPr/>
            </a:pPr>
            <a:endParaRPr lang="en-US"/>
          </a:p>
        </c:txPr>
        <c:crossAx val="21737472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9888</Words>
  <Characters>56362</Characters>
  <Application>Microsoft Office Word</Application>
  <DocSecurity>0</DocSecurity>
  <Lines>469</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UWO SSC</Company>
  <LinksUpToDate>false</LinksUpToDate>
  <CharactersWithSpaces>66118</CharactersWithSpaces>
  <SharedDoc>false</SharedDoc>
  <HLinks>
    <vt:vector size="450" baseType="variant">
      <vt:variant>
        <vt:i4>589944</vt:i4>
      </vt:variant>
      <vt:variant>
        <vt:i4>375</vt:i4>
      </vt:variant>
      <vt:variant>
        <vt:i4>0</vt:i4>
      </vt:variant>
      <vt:variant>
        <vt:i4>5</vt:i4>
      </vt:variant>
      <vt:variant>
        <vt:lpwstr>http://www.dol.gov/whd/overtime/fs17e_computer.pdf</vt:lpwstr>
      </vt:variant>
      <vt:variant>
        <vt:lpwstr/>
      </vt:variant>
      <vt:variant>
        <vt:i4>5636223</vt:i4>
      </vt:variant>
      <vt:variant>
        <vt:i4>372</vt:i4>
      </vt:variant>
      <vt:variant>
        <vt:i4>0</vt:i4>
      </vt:variant>
      <vt:variant>
        <vt:i4>5</vt:i4>
      </vt:variant>
      <vt:variant>
        <vt:lpwstr>http://www.dol.gov/whd/overtime_pay.htm</vt:lpwstr>
      </vt:variant>
      <vt:variant>
        <vt:lpwstr/>
      </vt:variant>
      <vt:variant>
        <vt:i4>6815846</vt:i4>
      </vt:variant>
      <vt:variant>
        <vt:i4>369</vt:i4>
      </vt:variant>
      <vt:variant>
        <vt:i4>0</vt:i4>
      </vt:variant>
      <vt:variant>
        <vt:i4>5</vt:i4>
      </vt:variant>
      <vt:variant>
        <vt:lpwstr>http://www.kent.ac.uk/careers/workin/computergames.htm</vt:lpwstr>
      </vt:variant>
      <vt:variant>
        <vt:lpwstr/>
      </vt:variant>
      <vt:variant>
        <vt:i4>1507356</vt:i4>
      </vt:variant>
      <vt:variant>
        <vt:i4>366</vt:i4>
      </vt:variant>
      <vt:variant>
        <vt:i4>0</vt:i4>
      </vt:variant>
      <vt:variant>
        <vt:i4>5</vt:i4>
      </vt:variant>
      <vt:variant>
        <vt:lpwstr>http://www.tiga.org/about-us-and-uk-games/uk-video-games-industry</vt:lpwstr>
      </vt:variant>
      <vt:variant>
        <vt:lpwstr/>
      </vt:variant>
      <vt:variant>
        <vt:i4>5701648</vt:i4>
      </vt:variant>
      <vt:variant>
        <vt:i4>363</vt:i4>
      </vt:variant>
      <vt:variant>
        <vt:i4>0</vt:i4>
      </vt:variant>
      <vt:variant>
        <vt:i4>5</vt:i4>
      </vt:variant>
      <vt:variant>
        <vt:lpwstr>http://www.gamesindustry.biz/articles/2015-04-22-gaming-will-hit-usd91-5-billion-this-year-newzoo</vt:lpwstr>
      </vt:variant>
      <vt:variant>
        <vt:lpwstr/>
      </vt:variant>
      <vt:variant>
        <vt:i4>7274603</vt:i4>
      </vt:variant>
      <vt:variant>
        <vt:i4>360</vt:i4>
      </vt:variant>
      <vt:variant>
        <vt:i4>0</vt:i4>
      </vt:variant>
      <vt:variant>
        <vt:i4>5</vt:i4>
      </vt:variant>
      <vt:variant>
        <vt:lpwstr>http://newsletter.igda.org/2014/08/31/maintaining-quality-of-life-as-a-game-developer-entrepreneur-and-parent/</vt:lpwstr>
      </vt:variant>
      <vt:variant>
        <vt:lpwstr/>
      </vt:variant>
      <vt:variant>
        <vt:i4>5046272</vt:i4>
      </vt:variant>
      <vt:variant>
        <vt:i4>357</vt:i4>
      </vt:variant>
      <vt:variant>
        <vt:i4>0</vt:i4>
      </vt:variant>
      <vt:variant>
        <vt:i4>5</vt:i4>
      </vt:variant>
      <vt:variant>
        <vt:lpwstr>http://www.gamasutra.com/blogs/RockstarSpouse/20100107/4032/Wives_of_Rockstar_San_Diego_employees_have_collected_themselves.php</vt:lpwstr>
      </vt:variant>
      <vt:variant>
        <vt:lpwstr/>
      </vt:variant>
      <vt:variant>
        <vt:i4>3539002</vt:i4>
      </vt:variant>
      <vt:variant>
        <vt:i4>354</vt:i4>
      </vt:variant>
      <vt:variant>
        <vt:i4>0</vt:i4>
      </vt:variant>
      <vt:variant>
        <vt:i4>5</vt:i4>
      </vt:variant>
      <vt:variant>
        <vt:lpwstr>http://theesa.ca/wp-content/uploads/2013/10/ESAC-Video-Games-Profile-2013-FINAL-2013-10-21-CIRC.pdf</vt:lpwstr>
      </vt:variant>
      <vt:variant>
        <vt:lpwstr/>
      </vt:variant>
      <vt:variant>
        <vt:i4>6684728</vt:i4>
      </vt:variant>
      <vt:variant>
        <vt:i4>351</vt:i4>
      </vt:variant>
      <vt:variant>
        <vt:i4>0</vt:i4>
      </vt:variant>
      <vt:variant>
        <vt:i4>5</vt:i4>
      </vt:variant>
      <vt:variant>
        <vt:lpwstr>http://www.ilo.org/public/english/bureau/stat/download/articles/2002-3.pdf</vt:lpwstr>
      </vt:variant>
      <vt:variant>
        <vt:lpwstr/>
      </vt:variant>
      <vt:variant>
        <vt:i4>393303</vt:i4>
      </vt:variant>
      <vt:variant>
        <vt:i4>348</vt:i4>
      </vt:variant>
      <vt:variant>
        <vt:i4>0</vt:i4>
      </vt:variant>
      <vt:variant>
        <vt:i4>5</vt:i4>
      </vt:variant>
      <vt:variant>
        <vt:lpwstr>http://www.erudit.org/revue/ri/2011/v66/n4/index.html</vt:lpwstr>
      </vt:variant>
      <vt:variant>
        <vt:lpwstr/>
      </vt:variant>
      <vt:variant>
        <vt:i4>6357031</vt:i4>
      </vt:variant>
      <vt:variant>
        <vt:i4>345</vt:i4>
      </vt:variant>
      <vt:variant>
        <vt:i4>0</vt:i4>
      </vt:variant>
      <vt:variant>
        <vt:i4>5</vt:i4>
      </vt:variant>
      <vt:variant>
        <vt:lpwstr>http://www.cjc-online.ca/index.php/journal</vt:lpwstr>
      </vt:variant>
      <vt:variant>
        <vt:lpwstr/>
      </vt:variant>
      <vt:variant>
        <vt:i4>3407934</vt:i4>
      </vt:variant>
      <vt:variant>
        <vt:i4>342</vt:i4>
      </vt:variant>
      <vt:variant>
        <vt:i4>0</vt:i4>
      </vt:variant>
      <vt:variant>
        <vt:i4>5</vt:i4>
      </vt:variant>
      <vt:variant>
        <vt:lpwstr>http://gameqol.org/</vt:lpwstr>
      </vt:variant>
      <vt:variant>
        <vt:lpwstr/>
      </vt:variant>
      <vt:variant>
        <vt:i4>4980801</vt:i4>
      </vt:variant>
      <vt:variant>
        <vt:i4>339</vt:i4>
      </vt:variant>
      <vt:variant>
        <vt:i4>0</vt:i4>
      </vt:variant>
      <vt:variant>
        <vt:i4>5</vt:i4>
      </vt:variant>
      <vt:variant>
        <vt:lpwstr>http://www.igi-global.com/book/managing-dynamic-technology-oriented-businesses/62632</vt:lpwstr>
      </vt:variant>
      <vt:variant>
        <vt:lpwstr/>
      </vt:variant>
      <vt:variant>
        <vt:i4>5177360</vt:i4>
      </vt:variant>
      <vt:variant>
        <vt:i4>336</vt:i4>
      </vt:variant>
      <vt:variant>
        <vt:i4>0</vt:i4>
      </vt:variant>
      <vt:variant>
        <vt:i4>5</vt:i4>
      </vt:variant>
      <vt:variant>
        <vt:lpwstr>http://dx.doi.org/10.1016/j.ijproman.2011.11.004</vt:lpwstr>
      </vt:variant>
      <vt:variant>
        <vt:lpwstr/>
      </vt:variant>
      <vt:variant>
        <vt:i4>2818101</vt:i4>
      </vt:variant>
      <vt:variant>
        <vt:i4>333</vt:i4>
      </vt:variant>
      <vt:variant>
        <vt:i4>0</vt:i4>
      </vt:variant>
      <vt:variant>
        <vt:i4>5</vt:i4>
      </vt:variant>
      <vt:variant>
        <vt:lpwstr>http://analytica.metapress.com/content/121034/</vt:lpwstr>
      </vt:variant>
      <vt:variant>
        <vt:lpwstr/>
      </vt:variant>
      <vt:variant>
        <vt:i4>2687029</vt:i4>
      </vt:variant>
      <vt:variant>
        <vt:i4>330</vt:i4>
      </vt:variant>
      <vt:variant>
        <vt:i4>0</vt:i4>
      </vt:variant>
      <vt:variant>
        <vt:i4>5</vt:i4>
      </vt:variant>
      <vt:variant>
        <vt:lpwstr>http://www.1up.com/features/gaming-dirty-secret</vt:lpwstr>
      </vt:variant>
      <vt:variant>
        <vt:lpwstr/>
      </vt:variant>
      <vt:variant>
        <vt:i4>4587604</vt:i4>
      </vt:variant>
      <vt:variant>
        <vt:i4>327</vt:i4>
      </vt:variant>
      <vt:variant>
        <vt:i4>0</vt:i4>
      </vt:variant>
      <vt:variant>
        <vt:i4>5</vt:i4>
      </vt:variant>
      <vt:variant>
        <vt:lpwstr>http://www.dir.ca.gov/IWC/IWCArticle4.pdf</vt:lpwstr>
      </vt:variant>
      <vt:variant>
        <vt:lpwstr/>
      </vt:variant>
      <vt:variant>
        <vt:i4>983066</vt:i4>
      </vt:variant>
      <vt:variant>
        <vt:i4>324</vt:i4>
      </vt:variant>
      <vt:variant>
        <vt:i4>0</vt:i4>
      </vt:variant>
      <vt:variant>
        <vt:i4>5</vt:i4>
      </vt:variant>
      <vt:variant>
        <vt:lpwstr>http://www.gamasutra.com/view/feature/3656/quality_of_life_does_anyone_still_.php</vt:lpwstr>
      </vt:variant>
      <vt:variant>
        <vt:lpwstr/>
      </vt:variant>
      <vt:variant>
        <vt:i4>262172</vt:i4>
      </vt:variant>
      <vt:variant>
        <vt:i4>321</vt:i4>
      </vt:variant>
      <vt:variant>
        <vt:i4>0</vt:i4>
      </vt:variant>
      <vt:variant>
        <vt:i4>5</vt:i4>
      </vt:variant>
      <vt:variant>
        <vt:lpwstr>http://elr.carolon.net/BI/v27n06.pdf</vt:lpwstr>
      </vt:variant>
      <vt:variant>
        <vt:lpwstr/>
      </vt:variant>
      <vt:variant>
        <vt:i4>6750243</vt:i4>
      </vt:variant>
      <vt:variant>
        <vt:i4>318</vt:i4>
      </vt:variant>
      <vt:variant>
        <vt:i4>0</vt:i4>
      </vt:variant>
      <vt:variant>
        <vt:i4>5</vt:i4>
      </vt:variant>
      <vt:variant>
        <vt:lpwstr>http://www.igda.org/news/179436/IGDA-Developer-Satisfaction-Survey-Summary-Report-Available.htm</vt:lpwstr>
      </vt:variant>
      <vt:variant>
        <vt:lpwstr/>
      </vt:variant>
      <vt:variant>
        <vt:i4>7471227</vt:i4>
      </vt:variant>
      <vt:variant>
        <vt:i4>315</vt:i4>
      </vt:variant>
      <vt:variant>
        <vt:i4>0</vt:i4>
      </vt:variant>
      <vt:variant>
        <vt:i4>5</vt:i4>
      </vt:variant>
      <vt:variant>
        <vt:lpwstr>https://www.dir.ca.gov/dlse/LC515-5.pdf</vt:lpwstr>
      </vt:variant>
      <vt:variant>
        <vt:lpwstr/>
      </vt:variant>
      <vt:variant>
        <vt:i4>1376281</vt:i4>
      </vt:variant>
      <vt:variant>
        <vt:i4>312</vt:i4>
      </vt:variant>
      <vt:variant>
        <vt:i4>0</vt:i4>
      </vt:variant>
      <vt:variant>
        <vt:i4>5</vt:i4>
      </vt:variant>
      <vt:variant>
        <vt:lpwstr>http://www.informaworld.com/smpp/title~db=all~content=g911806569</vt:lpwstr>
      </vt:variant>
      <vt:variant>
        <vt:lpwstr/>
      </vt:variant>
      <vt:variant>
        <vt:i4>8323199</vt:i4>
      </vt:variant>
      <vt:variant>
        <vt:i4>309</vt:i4>
      </vt:variant>
      <vt:variant>
        <vt:i4>0</vt:i4>
      </vt:variant>
      <vt:variant>
        <vt:i4>5</vt:i4>
      </vt:variant>
      <vt:variant>
        <vt:lpwstr>http://onlinelibrary.wiley.com/doi/10.1002/cjas.147/pdf</vt:lpwstr>
      </vt:variant>
      <vt:variant>
        <vt:lpwstr/>
      </vt:variant>
      <vt:variant>
        <vt:i4>524339</vt:i4>
      </vt:variant>
      <vt:variant>
        <vt:i4>306</vt:i4>
      </vt:variant>
      <vt:variant>
        <vt:i4>0</vt:i4>
      </vt:variant>
      <vt:variant>
        <vt:i4>5</vt:i4>
      </vt:variant>
      <vt:variant>
        <vt:lpwstr>http://www.brandeis.edu/centers/cfwp/barnett_presentations/LongWorkHours.pdf</vt:lpwstr>
      </vt:variant>
      <vt:variant>
        <vt:lpwstr/>
      </vt:variant>
      <vt:variant>
        <vt:i4>7274586</vt:i4>
      </vt:variant>
      <vt:variant>
        <vt:i4>303</vt:i4>
      </vt:variant>
      <vt:variant>
        <vt:i4>0</vt:i4>
      </vt:variant>
      <vt:variant>
        <vt:i4>5</vt:i4>
      </vt:variant>
      <vt:variant>
        <vt:lpwstr>http://gamasutra.com/blogs/BrendaBrathwaite/20110117/6815/Mike_Actons_quotIt_Doesnt_Have_To_Suck_gamedevquot.php</vt:lpwstr>
      </vt:variant>
      <vt:variant>
        <vt:lpwstr/>
      </vt:variant>
      <vt:variant>
        <vt:i4>1376309</vt:i4>
      </vt:variant>
      <vt:variant>
        <vt:i4>296</vt:i4>
      </vt:variant>
      <vt:variant>
        <vt:i4>0</vt:i4>
      </vt:variant>
      <vt:variant>
        <vt:i4>5</vt:i4>
      </vt:variant>
      <vt:variant>
        <vt:lpwstr/>
      </vt:variant>
      <vt:variant>
        <vt:lpwstr>_Toc420247558</vt:lpwstr>
      </vt:variant>
      <vt:variant>
        <vt:i4>1376309</vt:i4>
      </vt:variant>
      <vt:variant>
        <vt:i4>290</vt:i4>
      </vt:variant>
      <vt:variant>
        <vt:i4>0</vt:i4>
      </vt:variant>
      <vt:variant>
        <vt:i4>5</vt:i4>
      </vt:variant>
      <vt:variant>
        <vt:lpwstr/>
      </vt:variant>
      <vt:variant>
        <vt:lpwstr>_Toc420247557</vt:lpwstr>
      </vt:variant>
      <vt:variant>
        <vt:i4>1376309</vt:i4>
      </vt:variant>
      <vt:variant>
        <vt:i4>284</vt:i4>
      </vt:variant>
      <vt:variant>
        <vt:i4>0</vt:i4>
      </vt:variant>
      <vt:variant>
        <vt:i4>5</vt:i4>
      </vt:variant>
      <vt:variant>
        <vt:lpwstr/>
      </vt:variant>
      <vt:variant>
        <vt:lpwstr>_Toc420247556</vt:lpwstr>
      </vt:variant>
      <vt:variant>
        <vt:i4>1376309</vt:i4>
      </vt:variant>
      <vt:variant>
        <vt:i4>278</vt:i4>
      </vt:variant>
      <vt:variant>
        <vt:i4>0</vt:i4>
      </vt:variant>
      <vt:variant>
        <vt:i4>5</vt:i4>
      </vt:variant>
      <vt:variant>
        <vt:lpwstr/>
      </vt:variant>
      <vt:variant>
        <vt:lpwstr>_Toc420247555</vt:lpwstr>
      </vt:variant>
      <vt:variant>
        <vt:i4>1376309</vt:i4>
      </vt:variant>
      <vt:variant>
        <vt:i4>272</vt:i4>
      </vt:variant>
      <vt:variant>
        <vt:i4>0</vt:i4>
      </vt:variant>
      <vt:variant>
        <vt:i4>5</vt:i4>
      </vt:variant>
      <vt:variant>
        <vt:lpwstr/>
      </vt:variant>
      <vt:variant>
        <vt:lpwstr>_Toc420247554</vt:lpwstr>
      </vt:variant>
      <vt:variant>
        <vt:i4>1376309</vt:i4>
      </vt:variant>
      <vt:variant>
        <vt:i4>266</vt:i4>
      </vt:variant>
      <vt:variant>
        <vt:i4>0</vt:i4>
      </vt:variant>
      <vt:variant>
        <vt:i4>5</vt:i4>
      </vt:variant>
      <vt:variant>
        <vt:lpwstr/>
      </vt:variant>
      <vt:variant>
        <vt:lpwstr>_Toc420247553</vt:lpwstr>
      </vt:variant>
      <vt:variant>
        <vt:i4>1376309</vt:i4>
      </vt:variant>
      <vt:variant>
        <vt:i4>260</vt:i4>
      </vt:variant>
      <vt:variant>
        <vt:i4>0</vt:i4>
      </vt:variant>
      <vt:variant>
        <vt:i4>5</vt:i4>
      </vt:variant>
      <vt:variant>
        <vt:lpwstr/>
      </vt:variant>
      <vt:variant>
        <vt:lpwstr>_Toc420247552</vt:lpwstr>
      </vt:variant>
      <vt:variant>
        <vt:i4>1376309</vt:i4>
      </vt:variant>
      <vt:variant>
        <vt:i4>254</vt:i4>
      </vt:variant>
      <vt:variant>
        <vt:i4>0</vt:i4>
      </vt:variant>
      <vt:variant>
        <vt:i4>5</vt:i4>
      </vt:variant>
      <vt:variant>
        <vt:lpwstr/>
      </vt:variant>
      <vt:variant>
        <vt:lpwstr>_Toc420247551</vt:lpwstr>
      </vt:variant>
      <vt:variant>
        <vt:i4>1376309</vt:i4>
      </vt:variant>
      <vt:variant>
        <vt:i4>248</vt:i4>
      </vt:variant>
      <vt:variant>
        <vt:i4>0</vt:i4>
      </vt:variant>
      <vt:variant>
        <vt:i4>5</vt:i4>
      </vt:variant>
      <vt:variant>
        <vt:lpwstr/>
      </vt:variant>
      <vt:variant>
        <vt:lpwstr>_Toc420247550</vt:lpwstr>
      </vt:variant>
      <vt:variant>
        <vt:i4>1310773</vt:i4>
      </vt:variant>
      <vt:variant>
        <vt:i4>242</vt:i4>
      </vt:variant>
      <vt:variant>
        <vt:i4>0</vt:i4>
      </vt:variant>
      <vt:variant>
        <vt:i4>5</vt:i4>
      </vt:variant>
      <vt:variant>
        <vt:lpwstr/>
      </vt:variant>
      <vt:variant>
        <vt:lpwstr>_Toc420247549</vt:lpwstr>
      </vt:variant>
      <vt:variant>
        <vt:i4>1310773</vt:i4>
      </vt:variant>
      <vt:variant>
        <vt:i4>236</vt:i4>
      </vt:variant>
      <vt:variant>
        <vt:i4>0</vt:i4>
      </vt:variant>
      <vt:variant>
        <vt:i4>5</vt:i4>
      </vt:variant>
      <vt:variant>
        <vt:lpwstr/>
      </vt:variant>
      <vt:variant>
        <vt:lpwstr>_Toc420247548</vt:lpwstr>
      </vt:variant>
      <vt:variant>
        <vt:i4>1310773</vt:i4>
      </vt:variant>
      <vt:variant>
        <vt:i4>230</vt:i4>
      </vt:variant>
      <vt:variant>
        <vt:i4>0</vt:i4>
      </vt:variant>
      <vt:variant>
        <vt:i4>5</vt:i4>
      </vt:variant>
      <vt:variant>
        <vt:lpwstr/>
      </vt:variant>
      <vt:variant>
        <vt:lpwstr>_Toc420247547</vt:lpwstr>
      </vt:variant>
      <vt:variant>
        <vt:i4>1310773</vt:i4>
      </vt:variant>
      <vt:variant>
        <vt:i4>224</vt:i4>
      </vt:variant>
      <vt:variant>
        <vt:i4>0</vt:i4>
      </vt:variant>
      <vt:variant>
        <vt:i4>5</vt:i4>
      </vt:variant>
      <vt:variant>
        <vt:lpwstr/>
      </vt:variant>
      <vt:variant>
        <vt:lpwstr>_Toc420247546</vt:lpwstr>
      </vt:variant>
      <vt:variant>
        <vt:i4>1310773</vt:i4>
      </vt:variant>
      <vt:variant>
        <vt:i4>218</vt:i4>
      </vt:variant>
      <vt:variant>
        <vt:i4>0</vt:i4>
      </vt:variant>
      <vt:variant>
        <vt:i4>5</vt:i4>
      </vt:variant>
      <vt:variant>
        <vt:lpwstr/>
      </vt:variant>
      <vt:variant>
        <vt:lpwstr>_Toc420247545</vt:lpwstr>
      </vt:variant>
      <vt:variant>
        <vt:i4>1310773</vt:i4>
      </vt:variant>
      <vt:variant>
        <vt:i4>212</vt:i4>
      </vt:variant>
      <vt:variant>
        <vt:i4>0</vt:i4>
      </vt:variant>
      <vt:variant>
        <vt:i4>5</vt:i4>
      </vt:variant>
      <vt:variant>
        <vt:lpwstr/>
      </vt:variant>
      <vt:variant>
        <vt:lpwstr>_Toc420247544</vt:lpwstr>
      </vt:variant>
      <vt:variant>
        <vt:i4>1310773</vt:i4>
      </vt:variant>
      <vt:variant>
        <vt:i4>206</vt:i4>
      </vt:variant>
      <vt:variant>
        <vt:i4>0</vt:i4>
      </vt:variant>
      <vt:variant>
        <vt:i4>5</vt:i4>
      </vt:variant>
      <vt:variant>
        <vt:lpwstr/>
      </vt:variant>
      <vt:variant>
        <vt:lpwstr>_Toc420247543</vt:lpwstr>
      </vt:variant>
      <vt:variant>
        <vt:i4>1310773</vt:i4>
      </vt:variant>
      <vt:variant>
        <vt:i4>200</vt:i4>
      </vt:variant>
      <vt:variant>
        <vt:i4>0</vt:i4>
      </vt:variant>
      <vt:variant>
        <vt:i4>5</vt:i4>
      </vt:variant>
      <vt:variant>
        <vt:lpwstr/>
      </vt:variant>
      <vt:variant>
        <vt:lpwstr>_Toc420247542</vt:lpwstr>
      </vt:variant>
      <vt:variant>
        <vt:i4>1310773</vt:i4>
      </vt:variant>
      <vt:variant>
        <vt:i4>194</vt:i4>
      </vt:variant>
      <vt:variant>
        <vt:i4>0</vt:i4>
      </vt:variant>
      <vt:variant>
        <vt:i4>5</vt:i4>
      </vt:variant>
      <vt:variant>
        <vt:lpwstr/>
      </vt:variant>
      <vt:variant>
        <vt:lpwstr>_Toc420247541</vt:lpwstr>
      </vt:variant>
      <vt:variant>
        <vt:i4>1310773</vt:i4>
      </vt:variant>
      <vt:variant>
        <vt:i4>188</vt:i4>
      </vt:variant>
      <vt:variant>
        <vt:i4>0</vt:i4>
      </vt:variant>
      <vt:variant>
        <vt:i4>5</vt:i4>
      </vt:variant>
      <vt:variant>
        <vt:lpwstr/>
      </vt:variant>
      <vt:variant>
        <vt:lpwstr>_Toc420247540</vt:lpwstr>
      </vt:variant>
      <vt:variant>
        <vt:i4>1245237</vt:i4>
      </vt:variant>
      <vt:variant>
        <vt:i4>182</vt:i4>
      </vt:variant>
      <vt:variant>
        <vt:i4>0</vt:i4>
      </vt:variant>
      <vt:variant>
        <vt:i4>5</vt:i4>
      </vt:variant>
      <vt:variant>
        <vt:lpwstr/>
      </vt:variant>
      <vt:variant>
        <vt:lpwstr>_Toc420247539</vt:lpwstr>
      </vt:variant>
      <vt:variant>
        <vt:i4>1245237</vt:i4>
      </vt:variant>
      <vt:variant>
        <vt:i4>176</vt:i4>
      </vt:variant>
      <vt:variant>
        <vt:i4>0</vt:i4>
      </vt:variant>
      <vt:variant>
        <vt:i4>5</vt:i4>
      </vt:variant>
      <vt:variant>
        <vt:lpwstr/>
      </vt:variant>
      <vt:variant>
        <vt:lpwstr>_Toc420247538</vt:lpwstr>
      </vt:variant>
      <vt:variant>
        <vt:i4>1245237</vt:i4>
      </vt:variant>
      <vt:variant>
        <vt:i4>170</vt:i4>
      </vt:variant>
      <vt:variant>
        <vt:i4>0</vt:i4>
      </vt:variant>
      <vt:variant>
        <vt:i4>5</vt:i4>
      </vt:variant>
      <vt:variant>
        <vt:lpwstr/>
      </vt:variant>
      <vt:variant>
        <vt:lpwstr>_Toc420247537</vt:lpwstr>
      </vt:variant>
      <vt:variant>
        <vt:i4>1245237</vt:i4>
      </vt:variant>
      <vt:variant>
        <vt:i4>164</vt:i4>
      </vt:variant>
      <vt:variant>
        <vt:i4>0</vt:i4>
      </vt:variant>
      <vt:variant>
        <vt:i4>5</vt:i4>
      </vt:variant>
      <vt:variant>
        <vt:lpwstr/>
      </vt:variant>
      <vt:variant>
        <vt:lpwstr>_Toc420247536</vt:lpwstr>
      </vt:variant>
      <vt:variant>
        <vt:i4>1245237</vt:i4>
      </vt:variant>
      <vt:variant>
        <vt:i4>158</vt:i4>
      </vt:variant>
      <vt:variant>
        <vt:i4>0</vt:i4>
      </vt:variant>
      <vt:variant>
        <vt:i4>5</vt:i4>
      </vt:variant>
      <vt:variant>
        <vt:lpwstr/>
      </vt:variant>
      <vt:variant>
        <vt:lpwstr>_Toc420247535</vt:lpwstr>
      </vt:variant>
      <vt:variant>
        <vt:i4>1245237</vt:i4>
      </vt:variant>
      <vt:variant>
        <vt:i4>152</vt:i4>
      </vt:variant>
      <vt:variant>
        <vt:i4>0</vt:i4>
      </vt:variant>
      <vt:variant>
        <vt:i4>5</vt:i4>
      </vt:variant>
      <vt:variant>
        <vt:lpwstr/>
      </vt:variant>
      <vt:variant>
        <vt:lpwstr>_Toc420247534</vt:lpwstr>
      </vt:variant>
      <vt:variant>
        <vt:i4>1245237</vt:i4>
      </vt:variant>
      <vt:variant>
        <vt:i4>146</vt:i4>
      </vt:variant>
      <vt:variant>
        <vt:i4>0</vt:i4>
      </vt:variant>
      <vt:variant>
        <vt:i4>5</vt:i4>
      </vt:variant>
      <vt:variant>
        <vt:lpwstr/>
      </vt:variant>
      <vt:variant>
        <vt:lpwstr>_Toc420247533</vt:lpwstr>
      </vt:variant>
      <vt:variant>
        <vt:i4>1245237</vt:i4>
      </vt:variant>
      <vt:variant>
        <vt:i4>140</vt:i4>
      </vt:variant>
      <vt:variant>
        <vt:i4>0</vt:i4>
      </vt:variant>
      <vt:variant>
        <vt:i4>5</vt:i4>
      </vt:variant>
      <vt:variant>
        <vt:lpwstr/>
      </vt:variant>
      <vt:variant>
        <vt:lpwstr>_Toc420247532</vt:lpwstr>
      </vt:variant>
      <vt:variant>
        <vt:i4>1245237</vt:i4>
      </vt:variant>
      <vt:variant>
        <vt:i4>134</vt:i4>
      </vt:variant>
      <vt:variant>
        <vt:i4>0</vt:i4>
      </vt:variant>
      <vt:variant>
        <vt:i4>5</vt:i4>
      </vt:variant>
      <vt:variant>
        <vt:lpwstr/>
      </vt:variant>
      <vt:variant>
        <vt:lpwstr>_Toc420247531</vt:lpwstr>
      </vt:variant>
      <vt:variant>
        <vt:i4>1245237</vt:i4>
      </vt:variant>
      <vt:variant>
        <vt:i4>128</vt:i4>
      </vt:variant>
      <vt:variant>
        <vt:i4>0</vt:i4>
      </vt:variant>
      <vt:variant>
        <vt:i4>5</vt:i4>
      </vt:variant>
      <vt:variant>
        <vt:lpwstr/>
      </vt:variant>
      <vt:variant>
        <vt:lpwstr>_Toc420247530</vt:lpwstr>
      </vt:variant>
      <vt:variant>
        <vt:i4>1179701</vt:i4>
      </vt:variant>
      <vt:variant>
        <vt:i4>122</vt:i4>
      </vt:variant>
      <vt:variant>
        <vt:i4>0</vt:i4>
      </vt:variant>
      <vt:variant>
        <vt:i4>5</vt:i4>
      </vt:variant>
      <vt:variant>
        <vt:lpwstr/>
      </vt:variant>
      <vt:variant>
        <vt:lpwstr>_Toc420247529</vt:lpwstr>
      </vt:variant>
      <vt:variant>
        <vt:i4>1179701</vt:i4>
      </vt:variant>
      <vt:variant>
        <vt:i4>116</vt:i4>
      </vt:variant>
      <vt:variant>
        <vt:i4>0</vt:i4>
      </vt:variant>
      <vt:variant>
        <vt:i4>5</vt:i4>
      </vt:variant>
      <vt:variant>
        <vt:lpwstr/>
      </vt:variant>
      <vt:variant>
        <vt:lpwstr>_Toc420247528</vt:lpwstr>
      </vt:variant>
      <vt:variant>
        <vt:i4>1179701</vt:i4>
      </vt:variant>
      <vt:variant>
        <vt:i4>110</vt:i4>
      </vt:variant>
      <vt:variant>
        <vt:i4>0</vt:i4>
      </vt:variant>
      <vt:variant>
        <vt:i4>5</vt:i4>
      </vt:variant>
      <vt:variant>
        <vt:lpwstr/>
      </vt:variant>
      <vt:variant>
        <vt:lpwstr>_Toc420247527</vt:lpwstr>
      </vt:variant>
      <vt:variant>
        <vt:i4>1179701</vt:i4>
      </vt:variant>
      <vt:variant>
        <vt:i4>104</vt:i4>
      </vt:variant>
      <vt:variant>
        <vt:i4>0</vt:i4>
      </vt:variant>
      <vt:variant>
        <vt:i4>5</vt:i4>
      </vt:variant>
      <vt:variant>
        <vt:lpwstr/>
      </vt:variant>
      <vt:variant>
        <vt:lpwstr>_Toc420247526</vt:lpwstr>
      </vt:variant>
      <vt:variant>
        <vt:i4>1179701</vt:i4>
      </vt:variant>
      <vt:variant>
        <vt:i4>98</vt:i4>
      </vt:variant>
      <vt:variant>
        <vt:i4>0</vt:i4>
      </vt:variant>
      <vt:variant>
        <vt:i4>5</vt:i4>
      </vt:variant>
      <vt:variant>
        <vt:lpwstr/>
      </vt:variant>
      <vt:variant>
        <vt:lpwstr>_Toc420247525</vt:lpwstr>
      </vt:variant>
      <vt:variant>
        <vt:i4>1179701</vt:i4>
      </vt:variant>
      <vt:variant>
        <vt:i4>92</vt:i4>
      </vt:variant>
      <vt:variant>
        <vt:i4>0</vt:i4>
      </vt:variant>
      <vt:variant>
        <vt:i4>5</vt:i4>
      </vt:variant>
      <vt:variant>
        <vt:lpwstr/>
      </vt:variant>
      <vt:variant>
        <vt:lpwstr>_Toc420247524</vt:lpwstr>
      </vt:variant>
      <vt:variant>
        <vt:i4>1179701</vt:i4>
      </vt:variant>
      <vt:variant>
        <vt:i4>86</vt:i4>
      </vt:variant>
      <vt:variant>
        <vt:i4>0</vt:i4>
      </vt:variant>
      <vt:variant>
        <vt:i4>5</vt:i4>
      </vt:variant>
      <vt:variant>
        <vt:lpwstr/>
      </vt:variant>
      <vt:variant>
        <vt:lpwstr>_Toc420247523</vt:lpwstr>
      </vt:variant>
      <vt:variant>
        <vt:i4>1179701</vt:i4>
      </vt:variant>
      <vt:variant>
        <vt:i4>80</vt:i4>
      </vt:variant>
      <vt:variant>
        <vt:i4>0</vt:i4>
      </vt:variant>
      <vt:variant>
        <vt:i4>5</vt:i4>
      </vt:variant>
      <vt:variant>
        <vt:lpwstr/>
      </vt:variant>
      <vt:variant>
        <vt:lpwstr>_Toc420247522</vt:lpwstr>
      </vt:variant>
      <vt:variant>
        <vt:i4>1179701</vt:i4>
      </vt:variant>
      <vt:variant>
        <vt:i4>74</vt:i4>
      </vt:variant>
      <vt:variant>
        <vt:i4>0</vt:i4>
      </vt:variant>
      <vt:variant>
        <vt:i4>5</vt:i4>
      </vt:variant>
      <vt:variant>
        <vt:lpwstr/>
      </vt:variant>
      <vt:variant>
        <vt:lpwstr>_Toc420247521</vt:lpwstr>
      </vt:variant>
      <vt:variant>
        <vt:i4>1179701</vt:i4>
      </vt:variant>
      <vt:variant>
        <vt:i4>68</vt:i4>
      </vt:variant>
      <vt:variant>
        <vt:i4>0</vt:i4>
      </vt:variant>
      <vt:variant>
        <vt:i4>5</vt:i4>
      </vt:variant>
      <vt:variant>
        <vt:lpwstr/>
      </vt:variant>
      <vt:variant>
        <vt:lpwstr>_Toc420247520</vt:lpwstr>
      </vt:variant>
      <vt:variant>
        <vt:i4>1114165</vt:i4>
      </vt:variant>
      <vt:variant>
        <vt:i4>62</vt:i4>
      </vt:variant>
      <vt:variant>
        <vt:i4>0</vt:i4>
      </vt:variant>
      <vt:variant>
        <vt:i4>5</vt:i4>
      </vt:variant>
      <vt:variant>
        <vt:lpwstr/>
      </vt:variant>
      <vt:variant>
        <vt:lpwstr>_Toc420247519</vt:lpwstr>
      </vt:variant>
      <vt:variant>
        <vt:i4>1114165</vt:i4>
      </vt:variant>
      <vt:variant>
        <vt:i4>56</vt:i4>
      </vt:variant>
      <vt:variant>
        <vt:i4>0</vt:i4>
      </vt:variant>
      <vt:variant>
        <vt:i4>5</vt:i4>
      </vt:variant>
      <vt:variant>
        <vt:lpwstr/>
      </vt:variant>
      <vt:variant>
        <vt:lpwstr>_Toc420247518</vt:lpwstr>
      </vt:variant>
      <vt:variant>
        <vt:i4>1114165</vt:i4>
      </vt:variant>
      <vt:variant>
        <vt:i4>50</vt:i4>
      </vt:variant>
      <vt:variant>
        <vt:i4>0</vt:i4>
      </vt:variant>
      <vt:variant>
        <vt:i4>5</vt:i4>
      </vt:variant>
      <vt:variant>
        <vt:lpwstr/>
      </vt:variant>
      <vt:variant>
        <vt:lpwstr>_Toc420247517</vt:lpwstr>
      </vt:variant>
      <vt:variant>
        <vt:i4>1114165</vt:i4>
      </vt:variant>
      <vt:variant>
        <vt:i4>44</vt:i4>
      </vt:variant>
      <vt:variant>
        <vt:i4>0</vt:i4>
      </vt:variant>
      <vt:variant>
        <vt:i4>5</vt:i4>
      </vt:variant>
      <vt:variant>
        <vt:lpwstr/>
      </vt:variant>
      <vt:variant>
        <vt:lpwstr>_Toc420247516</vt:lpwstr>
      </vt:variant>
      <vt:variant>
        <vt:i4>1114165</vt:i4>
      </vt:variant>
      <vt:variant>
        <vt:i4>38</vt:i4>
      </vt:variant>
      <vt:variant>
        <vt:i4>0</vt:i4>
      </vt:variant>
      <vt:variant>
        <vt:i4>5</vt:i4>
      </vt:variant>
      <vt:variant>
        <vt:lpwstr/>
      </vt:variant>
      <vt:variant>
        <vt:lpwstr>_Toc420247515</vt:lpwstr>
      </vt:variant>
      <vt:variant>
        <vt:i4>1114165</vt:i4>
      </vt:variant>
      <vt:variant>
        <vt:i4>32</vt:i4>
      </vt:variant>
      <vt:variant>
        <vt:i4>0</vt:i4>
      </vt:variant>
      <vt:variant>
        <vt:i4>5</vt:i4>
      </vt:variant>
      <vt:variant>
        <vt:lpwstr/>
      </vt:variant>
      <vt:variant>
        <vt:lpwstr>_Toc420247514</vt:lpwstr>
      </vt:variant>
      <vt:variant>
        <vt:i4>1114165</vt:i4>
      </vt:variant>
      <vt:variant>
        <vt:i4>26</vt:i4>
      </vt:variant>
      <vt:variant>
        <vt:i4>0</vt:i4>
      </vt:variant>
      <vt:variant>
        <vt:i4>5</vt:i4>
      </vt:variant>
      <vt:variant>
        <vt:lpwstr/>
      </vt:variant>
      <vt:variant>
        <vt:lpwstr>_Toc420247513</vt:lpwstr>
      </vt:variant>
      <vt:variant>
        <vt:i4>1114165</vt:i4>
      </vt:variant>
      <vt:variant>
        <vt:i4>20</vt:i4>
      </vt:variant>
      <vt:variant>
        <vt:i4>0</vt:i4>
      </vt:variant>
      <vt:variant>
        <vt:i4>5</vt:i4>
      </vt:variant>
      <vt:variant>
        <vt:lpwstr/>
      </vt:variant>
      <vt:variant>
        <vt:lpwstr>_Toc420247512</vt:lpwstr>
      </vt:variant>
      <vt:variant>
        <vt:i4>1114165</vt:i4>
      </vt:variant>
      <vt:variant>
        <vt:i4>14</vt:i4>
      </vt:variant>
      <vt:variant>
        <vt:i4>0</vt:i4>
      </vt:variant>
      <vt:variant>
        <vt:i4>5</vt:i4>
      </vt:variant>
      <vt:variant>
        <vt:lpwstr/>
      </vt:variant>
      <vt:variant>
        <vt:lpwstr>_Toc420247511</vt:lpwstr>
      </vt:variant>
      <vt:variant>
        <vt:i4>1114165</vt:i4>
      </vt:variant>
      <vt:variant>
        <vt:i4>8</vt:i4>
      </vt:variant>
      <vt:variant>
        <vt:i4>0</vt:i4>
      </vt:variant>
      <vt:variant>
        <vt:i4>5</vt:i4>
      </vt:variant>
      <vt:variant>
        <vt:lpwstr/>
      </vt:variant>
      <vt:variant>
        <vt:lpwstr>_Toc420247510</vt:lpwstr>
      </vt:variant>
      <vt:variant>
        <vt:i4>1048629</vt:i4>
      </vt:variant>
      <vt:variant>
        <vt:i4>2</vt:i4>
      </vt:variant>
      <vt:variant>
        <vt:i4>0</vt:i4>
      </vt:variant>
      <vt:variant>
        <vt:i4>5</vt:i4>
      </vt:variant>
      <vt:variant>
        <vt:lpwstr/>
      </vt:variant>
      <vt:variant>
        <vt:lpwstr>_Toc420247509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Legault Marie-Josée</dc:creator>
  <cp:lastModifiedBy>Johanna Weststar</cp:lastModifiedBy>
  <cp:revision>2</cp:revision>
  <cp:lastPrinted>2016-08-26T17:20:00Z</cp:lastPrinted>
  <dcterms:created xsi:type="dcterms:W3CDTF">2017-03-02T19:54:00Z</dcterms:created>
  <dcterms:modified xsi:type="dcterms:W3CDTF">2017-03-02T19:54:00Z</dcterms:modified>
</cp:coreProperties>
</file>